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0A6A" w:rsidRDefault="006D4F91" w:rsidP="006D4F91">
      <w:pPr>
        <w:jc w:val="right"/>
        <w:rPr>
          <w:rFonts w:eastAsia="Times New Roman"/>
          <w:sz w:val="26"/>
          <w:szCs w:val="26"/>
        </w:rPr>
      </w:pPr>
      <w:r w:rsidRPr="00BF2E63">
        <w:rPr>
          <w:rFonts w:eastAsia="Times New Roman"/>
          <w:sz w:val="26"/>
          <w:szCs w:val="26"/>
        </w:rPr>
        <w:t xml:space="preserve">Додаток до пояснювальної записки </w:t>
      </w:r>
    </w:p>
    <w:p w:rsidR="006D4F91" w:rsidRPr="00BF2E63" w:rsidRDefault="00F00A6A" w:rsidP="006D4F91">
      <w:pPr>
        <w:jc w:val="right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до </w:t>
      </w:r>
      <w:r w:rsidR="006D4F91" w:rsidRPr="00BF2E63">
        <w:rPr>
          <w:rFonts w:eastAsia="Times New Roman"/>
          <w:sz w:val="26"/>
          <w:szCs w:val="26"/>
        </w:rPr>
        <w:t>про</w:t>
      </w:r>
      <w:r w:rsidR="00000564">
        <w:rPr>
          <w:rFonts w:eastAsia="Times New Roman"/>
          <w:sz w:val="26"/>
          <w:szCs w:val="26"/>
        </w:rPr>
        <w:t>е</w:t>
      </w:r>
      <w:r w:rsidR="006D4F91" w:rsidRPr="00BF2E63">
        <w:rPr>
          <w:rFonts w:eastAsia="Times New Roman"/>
          <w:sz w:val="26"/>
          <w:szCs w:val="26"/>
        </w:rPr>
        <w:t>кту Закону</w:t>
      </w:r>
      <w:r w:rsidR="00E26E24">
        <w:rPr>
          <w:rFonts w:eastAsia="Times New Roman"/>
          <w:sz w:val="26"/>
          <w:szCs w:val="26"/>
        </w:rPr>
        <w:t xml:space="preserve"> України</w:t>
      </w:r>
    </w:p>
    <w:p w:rsidR="006D4F91" w:rsidRPr="00BF2E63" w:rsidRDefault="006D4F91" w:rsidP="00E95B41">
      <w:pPr>
        <w:jc w:val="center"/>
        <w:rPr>
          <w:rFonts w:eastAsia="Times New Roman"/>
          <w:b/>
          <w:sz w:val="26"/>
          <w:szCs w:val="26"/>
        </w:rPr>
      </w:pPr>
    </w:p>
    <w:p w:rsidR="00E95B41" w:rsidRPr="005B5591" w:rsidRDefault="00E95B41" w:rsidP="005B5591">
      <w:pPr>
        <w:pStyle w:val="3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  <w:r w:rsidRPr="00BF2E63">
        <w:rPr>
          <w:rFonts w:eastAsia="Times New Roman"/>
          <w:sz w:val="26"/>
          <w:szCs w:val="26"/>
        </w:rPr>
        <w:t>ПРОГНОЗ ВПЛИВУ</w:t>
      </w:r>
      <w:r w:rsidRPr="00BF2E63">
        <w:rPr>
          <w:rFonts w:eastAsia="Times New Roman"/>
          <w:sz w:val="26"/>
          <w:szCs w:val="26"/>
        </w:rPr>
        <w:br/>
        <w:t xml:space="preserve">реалізації </w:t>
      </w:r>
      <w:r w:rsidRPr="005B5591">
        <w:rPr>
          <w:rFonts w:eastAsia="Times New Roman"/>
          <w:sz w:val="26"/>
          <w:szCs w:val="26"/>
        </w:rPr>
        <w:t>про</w:t>
      </w:r>
      <w:r w:rsidR="008E304E" w:rsidRPr="005B5591">
        <w:rPr>
          <w:rFonts w:eastAsia="Times New Roman"/>
          <w:sz w:val="26"/>
          <w:szCs w:val="26"/>
        </w:rPr>
        <w:t>е</w:t>
      </w:r>
      <w:r w:rsidRPr="005B5591">
        <w:rPr>
          <w:rFonts w:eastAsia="Times New Roman"/>
          <w:sz w:val="26"/>
          <w:szCs w:val="26"/>
        </w:rPr>
        <w:t>кту Закону України “</w:t>
      </w:r>
      <w:r w:rsidR="005B5591" w:rsidRPr="005B5591">
        <w:rPr>
          <w:rFonts w:eastAsia="Times New Roman"/>
          <w:sz w:val="26"/>
          <w:szCs w:val="26"/>
        </w:rPr>
        <w:t xml:space="preserve">Про ратифікацію Протоколу між Урядом України та Урядом Грузії </w:t>
      </w:r>
      <w:bookmarkStart w:id="0" w:name="_GoBack"/>
      <w:bookmarkEnd w:id="0"/>
      <w:r w:rsidR="005B5591">
        <w:rPr>
          <w:rFonts w:eastAsia="Times New Roman"/>
          <w:sz w:val="26"/>
          <w:szCs w:val="26"/>
        </w:rPr>
        <w:br/>
      </w:r>
      <w:r w:rsidR="005B5591" w:rsidRPr="005B5591">
        <w:rPr>
          <w:rFonts w:eastAsia="Times New Roman"/>
          <w:sz w:val="26"/>
          <w:szCs w:val="26"/>
        </w:rPr>
        <w:t>про внесення змін до Угоди між Урядом України та Урядом Республіки Грузія про вільну торгівлю від 9 січня 1995 року</w:t>
      </w:r>
      <w:r w:rsidRPr="005B5591">
        <w:rPr>
          <w:rFonts w:eastAsia="Times New Roman"/>
          <w:sz w:val="26"/>
          <w:szCs w:val="26"/>
        </w:rPr>
        <w:t>”</w:t>
      </w:r>
    </w:p>
    <w:p w:rsidR="00E95B41" w:rsidRPr="00BF2E63" w:rsidRDefault="00E95B41" w:rsidP="00E95B41">
      <w:pPr>
        <w:pStyle w:val="3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  <w:r w:rsidRPr="00BF2E63">
        <w:rPr>
          <w:rFonts w:eastAsia="Times New Roman"/>
          <w:sz w:val="26"/>
          <w:szCs w:val="26"/>
        </w:rPr>
        <w:t xml:space="preserve"> на ключові інтереси заінтересованих сторін</w:t>
      </w:r>
    </w:p>
    <w:p w:rsidR="00E95B41" w:rsidRPr="00BF2E63" w:rsidRDefault="006D4F91" w:rsidP="006D4F91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b/>
          <w:sz w:val="26"/>
          <w:szCs w:val="26"/>
        </w:rPr>
      </w:pPr>
      <w:r w:rsidRPr="00BF2E63">
        <w:rPr>
          <w:b/>
          <w:sz w:val="26"/>
          <w:szCs w:val="26"/>
        </w:rPr>
        <w:t>С</w:t>
      </w:r>
      <w:r w:rsidR="00E95B41" w:rsidRPr="00BF2E63">
        <w:rPr>
          <w:b/>
          <w:sz w:val="26"/>
          <w:szCs w:val="26"/>
        </w:rPr>
        <w:t>уть про</w:t>
      </w:r>
      <w:r w:rsidR="005B5591">
        <w:rPr>
          <w:b/>
          <w:sz w:val="26"/>
          <w:szCs w:val="26"/>
        </w:rPr>
        <w:t>е</w:t>
      </w:r>
      <w:r w:rsidR="00E95B41" w:rsidRPr="00BF2E63">
        <w:rPr>
          <w:b/>
          <w:sz w:val="26"/>
          <w:szCs w:val="26"/>
        </w:rPr>
        <w:t>кту акта</w:t>
      </w:r>
    </w:p>
    <w:p w:rsidR="006D4F91" w:rsidRPr="00BF2E63" w:rsidRDefault="005B5591" w:rsidP="000E2C9F">
      <w:pPr>
        <w:pStyle w:val="a4"/>
        <w:spacing w:before="120"/>
        <w:ind w:left="0" w:firstLine="720"/>
        <w:jc w:val="both"/>
        <w:rPr>
          <w:bCs/>
          <w:sz w:val="26"/>
          <w:szCs w:val="26"/>
        </w:rPr>
      </w:pPr>
      <w:r>
        <w:rPr>
          <w:sz w:val="26"/>
          <w:szCs w:val="26"/>
        </w:rPr>
        <w:t>Прое</w:t>
      </w:r>
      <w:r w:rsidR="006D4F91" w:rsidRPr="00BF2E63">
        <w:rPr>
          <w:sz w:val="26"/>
          <w:szCs w:val="26"/>
        </w:rPr>
        <w:t xml:space="preserve">ктом Закону пропонується ратифікувати </w:t>
      </w:r>
      <w:r w:rsidRPr="008A6877">
        <w:rPr>
          <w:sz w:val="26"/>
          <w:szCs w:val="26"/>
        </w:rPr>
        <w:t xml:space="preserve">Протокол між Урядом України та Урядом Грузії про внесення змін до Угоди між Урядом України та Урядом Республіки Грузія про вільну торгівлю від 9 січня 1995 року, який в частині застосування у двосторонній торгівлі дозволить використання Рішення Ради глав урядів СНД про Правила визначення країни походження товарів, підписаного </w:t>
      </w:r>
      <w:r>
        <w:rPr>
          <w:sz w:val="26"/>
          <w:szCs w:val="26"/>
        </w:rPr>
        <w:br/>
      </w:r>
      <w:r w:rsidRPr="008A6877">
        <w:rPr>
          <w:sz w:val="26"/>
          <w:szCs w:val="26"/>
        </w:rPr>
        <w:t>30 листопада 2000 р. у м. Мінську, або положень та додатків до Регіональної конвенції про пан-євро-середземноморські преференційні правила походження</w:t>
      </w:r>
      <w:r w:rsidR="00C6537D">
        <w:rPr>
          <w:sz w:val="26"/>
          <w:szCs w:val="26"/>
        </w:rPr>
        <w:t xml:space="preserve"> (далі – Конвенція ПЄМ)</w:t>
      </w:r>
      <w:r w:rsidR="006D4F91" w:rsidRPr="00BF2E63">
        <w:rPr>
          <w:bCs/>
          <w:sz w:val="26"/>
          <w:szCs w:val="26"/>
        </w:rPr>
        <w:t>.</w:t>
      </w:r>
    </w:p>
    <w:p w:rsidR="00E95B41" w:rsidRPr="00BF2E63" w:rsidRDefault="00E95B41" w:rsidP="000E2C9F">
      <w:pPr>
        <w:pStyle w:val="a3"/>
        <w:numPr>
          <w:ilvl w:val="0"/>
          <w:numId w:val="1"/>
        </w:numPr>
        <w:spacing w:before="120" w:beforeAutospacing="0" w:after="0" w:afterAutospacing="0"/>
        <w:ind w:left="714" w:hanging="357"/>
        <w:jc w:val="both"/>
        <w:rPr>
          <w:b/>
          <w:sz w:val="26"/>
          <w:szCs w:val="26"/>
        </w:rPr>
      </w:pPr>
      <w:r w:rsidRPr="00BF2E63">
        <w:rPr>
          <w:b/>
          <w:sz w:val="26"/>
          <w:szCs w:val="26"/>
        </w:rPr>
        <w:t>Вплив про</w:t>
      </w:r>
      <w:r w:rsidR="00C6537D">
        <w:rPr>
          <w:b/>
          <w:sz w:val="26"/>
          <w:szCs w:val="26"/>
        </w:rPr>
        <w:t>е</w:t>
      </w:r>
      <w:r w:rsidRPr="00BF2E63">
        <w:rPr>
          <w:b/>
          <w:sz w:val="26"/>
          <w:szCs w:val="26"/>
        </w:rPr>
        <w:t>кту акта на ключові інтереси заінтересованих сторін: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721"/>
        <w:gridCol w:w="3011"/>
        <w:gridCol w:w="2416"/>
        <w:gridCol w:w="2904"/>
        <w:gridCol w:w="4076"/>
      </w:tblGrid>
      <w:tr w:rsidR="006D4F91" w:rsidRPr="00BF2E63" w:rsidTr="00B475FF">
        <w:tc>
          <w:tcPr>
            <w:tcW w:w="2721" w:type="dxa"/>
            <w:vMerge w:val="restart"/>
          </w:tcPr>
          <w:p w:rsidR="006D4F91" w:rsidRPr="00BF2E63" w:rsidRDefault="006D4F91" w:rsidP="006D4F91">
            <w:pPr>
              <w:pStyle w:val="a3"/>
              <w:jc w:val="center"/>
              <w:rPr>
                <w:b/>
                <w:sz w:val="26"/>
                <w:szCs w:val="26"/>
              </w:rPr>
            </w:pPr>
            <w:r w:rsidRPr="00BF2E63">
              <w:rPr>
                <w:b/>
                <w:sz w:val="26"/>
                <w:szCs w:val="26"/>
              </w:rPr>
              <w:t>Заінтересована сторона</w:t>
            </w:r>
          </w:p>
        </w:tc>
        <w:tc>
          <w:tcPr>
            <w:tcW w:w="3011" w:type="dxa"/>
            <w:vMerge w:val="restart"/>
          </w:tcPr>
          <w:p w:rsidR="006D4F91" w:rsidRPr="00BF2E63" w:rsidRDefault="006D4F91" w:rsidP="006D4F91">
            <w:pPr>
              <w:pStyle w:val="a3"/>
              <w:jc w:val="center"/>
              <w:rPr>
                <w:b/>
                <w:sz w:val="26"/>
                <w:szCs w:val="26"/>
              </w:rPr>
            </w:pPr>
            <w:r w:rsidRPr="00BF2E63">
              <w:rPr>
                <w:b/>
                <w:sz w:val="26"/>
                <w:szCs w:val="26"/>
              </w:rPr>
              <w:t>Ключовий інтерес</w:t>
            </w:r>
          </w:p>
        </w:tc>
        <w:tc>
          <w:tcPr>
            <w:tcW w:w="5320" w:type="dxa"/>
            <w:gridSpan w:val="2"/>
          </w:tcPr>
          <w:p w:rsidR="006D4F91" w:rsidRPr="00BF2E63" w:rsidRDefault="006D4F91" w:rsidP="006D4F91">
            <w:pPr>
              <w:pStyle w:val="a3"/>
              <w:jc w:val="center"/>
              <w:rPr>
                <w:b/>
                <w:sz w:val="26"/>
                <w:szCs w:val="26"/>
              </w:rPr>
            </w:pPr>
            <w:r w:rsidRPr="00BF2E63">
              <w:rPr>
                <w:b/>
                <w:sz w:val="26"/>
                <w:szCs w:val="26"/>
              </w:rPr>
              <w:t>Очікуваний (позитивний чи негативний) вплив на ключовий інтерес із зазначенням передбачуваної динаміки змін основних показників (у числовому або якісному вимірі)</w:t>
            </w:r>
          </w:p>
        </w:tc>
        <w:tc>
          <w:tcPr>
            <w:tcW w:w="4076" w:type="dxa"/>
            <w:vMerge w:val="restart"/>
          </w:tcPr>
          <w:p w:rsidR="006D4F91" w:rsidRPr="00BF2E63" w:rsidRDefault="006D4F91" w:rsidP="006D4F91">
            <w:pPr>
              <w:pStyle w:val="a3"/>
              <w:jc w:val="center"/>
              <w:rPr>
                <w:b/>
                <w:sz w:val="26"/>
                <w:szCs w:val="26"/>
              </w:rPr>
            </w:pPr>
            <w:r w:rsidRPr="00BF2E63">
              <w:rPr>
                <w:b/>
                <w:sz w:val="26"/>
                <w:szCs w:val="26"/>
              </w:rPr>
              <w:t>Пояснення (чому саме реалізація акта призведе до очікуваного впливу)</w:t>
            </w:r>
          </w:p>
        </w:tc>
      </w:tr>
      <w:tr w:rsidR="006D4F91" w:rsidRPr="00BF2E63" w:rsidTr="00B475FF">
        <w:tc>
          <w:tcPr>
            <w:tcW w:w="2721" w:type="dxa"/>
            <w:vMerge/>
          </w:tcPr>
          <w:p w:rsidR="006D4F91" w:rsidRPr="00BF2E63" w:rsidRDefault="006D4F91" w:rsidP="006D4F91">
            <w:pPr>
              <w:pStyle w:val="a3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3011" w:type="dxa"/>
            <w:vMerge/>
          </w:tcPr>
          <w:p w:rsidR="006D4F91" w:rsidRPr="00BF2E63" w:rsidRDefault="006D4F91" w:rsidP="006D4F91">
            <w:pPr>
              <w:pStyle w:val="a3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2416" w:type="dxa"/>
          </w:tcPr>
          <w:p w:rsidR="006D4F91" w:rsidRPr="00BF2E63" w:rsidRDefault="006D4F91" w:rsidP="006D4F91">
            <w:pPr>
              <w:pStyle w:val="a3"/>
              <w:jc w:val="both"/>
              <w:rPr>
                <w:b/>
                <w:sz w:val="26"/>
                <w:szCs w:val="26"/>
              </w:rPr>
            </w:pPr>
            <w:r w:rsidRPr="00BF2E63">
              <w:rPr>
                <w:b/>
                <w:sz w:val="26"/>
                <w:szCs w:val="26"/>
              </w:rPr>
              <w:t>короткостроковий вплив (до року)</w:t>
            </w:r>
          </w:p>
        </w:tc>
        <w:tc>
          <w:tcPr>
            <w:tcW w:w="2904" w:type="dxa"/>
          </w:tcPr>
          <w:p w:rsidR="006D4F91" w:rsidRPr="00BF2E63" w:rsidRDefault="006D4F91" w:rsidP="006D4F91">
            <w:pPr>
              <w:pStyle w:val="a3"/>
              <w:jc w:val="both"/>
              <w:rPr>
                <w:b/>
                <w:sz w:val="26"/>
                <w:szCs w:val="26"/>
              </w:rPr>
            </w:pPr>
            <w:r w:rsidRPr="00BF2E63">
              <w:rPr>
                <w:b/>
                <w:sz w:val="26"/>
                <w:szCs w:val="26"/>
              </w:rPr>
              <w:t>середньостроковий вплив (більше року)</w:t>
            </w:r>
          </w:p>
        </w:tc>
        <w:tc>
          <w:tcPr>
            <w:tcW w:w="4076" w:type="dxa"/>
            <w:vMerge/>
          </w:tcPr>
          <w:p w:rsidR="006D4F91" w:rsidRPr="00BF2E63" w:rsidRDefault="006D4F91" w:rsidP="006D4F91">
            <w:pPr>
              <w:pStyle w:val="a3"/>
              <w:jc w:val="both"/>
              <w:rPr>
                <w:b/>
                <w:sz w:val="26"/>
                <w:szCs w:val="26"/>
              </w:rPr>
            </w:pPr>
          </w:p>
        </w:tc>
      </w:tr>
      <w:tr w:rsidR="00AE2520" w:rsidRPr="00BF2E63" w:rsidTr="00B475FF">
        <w:tc>
          <w:tcPr>
            <w:tcW w:w="2721" w:type="dxa"/>
          </w:tcPr>
          <w:p w:rsidR="00AE2520" w:rsidRPr="00BF2E63" w:rsidRDefault="00B475FF" w:rsidP="006D4F91">
            <w:pPr>
              <w:pStyle w:val="a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Експортери товарів, </w:t>
            </w:r>
            <w:r>
              <w:rPr>
                <w:sz w:val="26"/>
                <w:szCs w:val="26"/>
              </w:rPr>
              <w:br/>
              <w:t>як оператори зовнішньоекономічної діяльності</w:t>
            </w:r>
          </w:p>
        </w:tc>
        <w:tc>
          <w:tcPr>
            <w:tcW w:w="3011" w:type="dxa"/>
          </w:tcPr>
          <w:p w:rsidR="00AE2520" w:rsidRPr="00BF2E63" w:rsidRDefault="00B475FF" w:rsidP="00B475FF">
            <w:pPr>
              <w:pStyle w:val="a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Збільшення обсягів експорту товарів та максимальне використання переваг участі України в Конвенції ПЄМ   </w:t>
            </w:r>
          </w:p>
        </w:tc>
        <w:tc>
          <w:tcPr>
            <w:tcW w:w="2416" w:type="dxa"/>
          </w:tcPr>
          <w:p w:rsidR="00AE2520" w:rsidRPr="00B475FF" w:rsidRDefault="00882A3E" w:rsidP="00FA0A40">
            <w:pPr>
              <w:pStyle w:val="a3"/>
              <w:jc w:val="center"/>
              <w:rPr>
                <w:b/>
                <w:sz w:val="26"/>
                <w:szCs w:val="26"/>
              </w:rPr>
            </w:pPr>
            <w:r w:rsidRPr="00B475FF">
              <w:rPr>
                <w:b/>
                <w:sz w:val="26"/>
                <w:szCs w:val="26"/>
              </w:rPr>
              <w:t>+</w:t>
            </w:r>
          </w:p>
        </w:tc>
        <w:tc>
          <w:tcPr>
            <w:tcW w:w="2904" w:type="dxa"/>
          </w:tcPr>
          <w:p w:rsidR="00AE2520" w:rsidRPr="00B475FF" w:rsidRDefault="00882A3E" w:rsidP="00FA0A40">
            <w:pPr>
              <w:pStyle w:val="a3"/>
              <w:jc w:val="center"/>
              <w:rPr>
                <w:b/>
                <w:sz w:val="26"/>
                <w:szCs w:val="26"/>
              </w:rPr>
            </w:pPr>
            <w:r w:rsidRPr="00B475FF">
              <w:rPr>
                <w:b/>
                <w:sz w:val="26"/>
                <w:szCs w:val="26"/>
              </w:rPr>
              <w:t>+</w:t>
            </w:r>
          </w:p>
        </w:tc>
        <w:tc>
          <w:tcPr>
            <w:tcW w:w="4076" w:type="dxa"/>
          </w:tcPr>
          <w:p w:rsidR="00AE2520" w:rsidRPr="00882A3E" w:rsidRDefault="00B475FF" w:rsidP="00C6537D">
            <w:pPr>
              <w:pStyle w:val="a3"/>
              <w:spacing w:before="0" w:beforeAutospacing="0" w:after="0" w:afterAutospacing="0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Забезпечення збільшення обсягів двосторонньої торгівлі, залучення до регіональних ланцюгів створення доданої вартості та активізація українсько-грузинського торговельного співробітництва</w:t>
            </w:r>
          </w:p>
        </w:tc>
      </w:tr>
      <w:tr w:rsidR="00A80B54" w:rsidRPr="00BF2E63" w:rsidTr="00B475FF">
        <w:tc>
          <w:tcPr>
            <w:tcW w:w="2721" w:type="dxa"/>
          </w:tcPr>
          <w:p w:rsidR="00A80B54" w:rsidRPr="00BF2E63" w:rsidRDefault="00B475FF" w:rsidP="00B475FF">
            <w:pPr>
              <w:pStyle w:val="a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Імпортери </w:t>
            </w:r>
            <w:r w:rsidR="00C6537D">
              <w:rPr>
                <w:sz w:val="26"/>
                <w:szCs w:val="26"/>
              </w:rPr>
              <w:t>товарів</w:t>
            </w:r>
            <w:r>
              <w:rPr>
                <w:sz w:val="26"/>
                <w:szCs w:val="26"/>
              </w:rPr>
              <w:t>, як оператори зовнішньоекономічної діяльності</w:t>
            </w:r>
          </w:p>
        </w:tc>
        <w:tc>
          <w:tcPr>
            <w:tcW w:w="3011" w:type="dxa"/>
          </w:tcPr>
          <w:p w:rsidR="00A80B54" w:rsidRPr="00BF2E63" w:rsidRDefault="005B7A56" w:rsidP="005B7A56">
            <w:pPr>
              <w:pStyle w:val="a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Збільшення обсягів імпорту товарів та максимальне використання </w:t>
            </w:r>
            <w:r>
              <w:rPr>
                <w:sz w:val="26"/>
                <w:szCs w:val="26"/>
              </w:rPr>
              <w:lastRenderedPageBreak/>
              <w:t>можливостей Конвенції ПЄМ</w:t>
            </w:r>
          </w:p>
        </w:tc>
        <w:tc>
          <w:tcPr>
            <w:tcW w:w="2416" w:type="dxa"/>
          </w:tcPr>
          <w:p w:rsidR="00A80B54" w:rsidRPr="00BF2E63" w:rsidRDefault="00A80B54" w:rsidP="00FA0A40">
            <w:pPr>
              <w:pStyle w:val="a3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+</w:t>
            </w:r>
          </w:p>
        </w:tc>
        <w:tc>
          <w:tcPr>
            <w:tcW w:w="2904" w:type="dxa"/>
          </w:tcPr>
          <w:p w:rsidR="00A80B54" w:rsidRPr="00BF2E63" w:rsidRDefault="00A80B54" w:rsidP="00FA0A40">
            <w:pPr>
              <w:pStyle w:val="a3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+</w:t>
            </w:r>
          </w:p>
        </w:tc>
        <w:tc>
          <w:tcPr>
            <w:tcW w:w="4076" w:type="dxa"/>
          </w:tcPr>
          <w:p w:rsidR="00A80B54" w:rsidRPr="00BF2E63" w:rsidRDefault="00B475FF" w:rsidP="00B475FF">
            <w:pPr>
              <w:pStyle w:val="a3"/>
              <w:spacing w:before="0" w:beforeAutospacing="0" w:after="0" w:afterAutospacing="0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Забезпечення</w:t>
            </w:r>
            <w:r w:rsidR="00A80B54">
              <w:rPr>
                <w:bCs/>
                <w:sz w:val="26"/>
                <w:szCs w:val="26"/>
              </w:rPr>
              <w:t xml:space="preserve"> збільшення обсягів </w:t>
            </w:r>
            <w:r w:rsidR="00C6537D">
              <w:rPr>
                <w:bCs/>
                <w:sz w:val="26"/>
                <w:szCs w:val="26"/>
              </w:rPr>
              <w:t>торгівлі</w:t>
            </w:r>
            <w:r>
              <w:rPr>
                <w:bCs/>
                <w:sz w:val="26"/>
                <w:szCs w:val="26"/>
              </w:rPr>
              <w:t xml:space="preserve">, </w:t>
            </w:r>
            <w:r w:rsidR="00C6537D">
              <w:rPr>
                <w:bCs/>
                <w:sz w:val="26"/>
                <w:szCs w:val="26"/>
              </w:rPr>
              <w:t>залучення до регіональних ланцюгів створення доданої вартості</w:t>
            </w:r>
            <w:r>
              <w:rPr>
                <w:bCs/>
                <w:sz w:val="26"/>
                <w:szCs w:val="26"/>
              </w:rPr>
              <w:t xml:space="preserve"> та активізація </w:t>
            </w:r>
            <w:r>
              <w:rPr>
                <w:bCs/>
                <w:sz w:val="26"/>
                <w:szCs w:val="26"/>
              </w:rPr>
              <w:lastRenderedPageBreak/>
              <w:t>українсько-грузинського торговельного співробітництва</w:t>
            </w:r>
          </w:p>
        </w:tc>
      </w:tr>
      <w:tr w:rsidR="005B7A56" w:rsidRPr="00BF2E63" w:rsidTr="00B475FF">
        <w:tc>
          <w:tcPr>
            <w:tcW w:w="2721" w:type="dxa"/>
          </w:tcPr>
          <w:p w:rsidR="005B7A56" w:rsidRDefault="005B7A56" w:rsidP="005B7A56">
            <w:pPr>
              <w:pStyle w:val="a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Суб’єкти господарювання – виробники аналогічної продукції</w:t>
            </w:r>
          </w:p>
        </w:tc>
        <w:tc>
          <w:tcPr>
            <w:tcW w:w="3011" w:type="dxa"/>
          </w:tcPr>
          <w:p w:rsidR="005B7A56" w:rsidRDefault="005B7A56" w:rsidP="00630B4F">
            <w:pPr>
              <w:pStyle w:val="a3"/>
              <w:jc w:val="both"/>
              <w:rPr>
                <w:sz w:val="26"/>
                <w:szCs w:val="26"/>
              </w:rPr>
            </w:pPr>
            <w:r w:rsidRPr="005B7A56">
              <w:rPr>
                <w:sz w:val="26"/>
                <w:szCs w:val="26"/>
              </w:rPr>
              <w:t>Розвиток конкурентного середовища</w:t>
            </w:r>
            <w:r w:rsidR="00630B4F">
              <w:rPr>
                <w:sz w:val="26"/>
                <w:szCs w:val="26"/>
              </w:rPr>
              <w:t xml:space="preserve"> шляхом</w:t>
            </w:r>
            <w:r w:rsidRPr="005B7A56">
              <w:rPr>
                <w:sz w:val="26"/>
                <w:szCs w:val="26"/>
              </w:rPr>
              <w:t xml:space="preserve">  стимулювання підприємств до збільшення власних конкурентних переваг</w:t>
            </w:r>
          </w:p>
        </w:tc>
        <w:tc>
          <w:tcPr>
            <w:tcW w:w="2416" w:type="dxa"/>
          </w:tcPr>
          <w:p w:rsidR="005B7A56" w:rsidRDefault="005B7A56" w:rsidP="00FA0A40">
            <w:pPr>
              <w:pStyle w:val="a3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+</w:t>
            </w:r>
          </w:p>
        </w:tc>
        <w:tc>
          <w:tcPr>
            <w:tcW w:w="2904" w:type="dxa"/>
          </w:tcPr>
          <w:p w:rsidR="005B7A56" w:rsidRDefault="005B7A56" w:rsidP="00FA0A40">
            <w:pPr>
              <w:pStyle w:val="a3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+</w:t>
            </w:r>
          </w:p>
        </w:tc>
        <w:tc>
          <w:tcPr>
            <w:tcW w:w="4076" w:type="dxa"/>
          </w:tcPr>
          <w:p w:rsidR="005B7A56" w:rsidRDefault="005B7A56" w:rsidP="00630B4F">
            <w:pPr>
              <w:pStyle w:val="a3"/>
              <w:spacing w:before="0" w:beforeAutospacing="0" w:after="0" w:afterAutospacing="0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Розширення доступу до ресурсів та товарів. Підвищення якості аналогічної продукції, що реалізується на т</w:t>
            </w:r>
            <w:r w:rsidR="00630B4F">
              <w:rPr>
                <w:bCs/>
                <w:sz w:val="26"/>
                <w:szCs w:val="26"/>
              </w:rPr>
              <w:t>ериторії України</w:t>
            </w:r>
            <w:r>
              <w:rPr>
                <w:bCs/>
                <w:sz w:val="26"/>
                <w:szCs w:val="26"/>
              </w:rPr>
              <w:t xml:space="preserve">  </w:t>
            </w:r>
          </w:p>
        </w:tc>
      </w:tr>
    </w:tbl>
    <w:p w:rsidR="006D4F91" w:rsidRPr="00BF2E63" w:rsidRDefault="006D4F91" w:rsidP="006D4F91">
      <w:pPr>
        <w:pStyle w:val="a3"/>
        <w:jc w:val="both"/>
        <w:rPr>
          <w:b/>
          <w:sz w:val="26"/>
          <w:szCs w:val="26"/>
        </w:rPr>
      </w:pPr>
    </w:p>
    <w:sectPr w:rsidR="006D4F91" w:rsidRPr="00BF2E63" w:rsidSect="000E2C9F">
      <w:headerReference w:type="default" r:id="rId8"/>
      <w:pgSz w:w="16838" w:h="11906" w:orient="landscape"/>
      <w:pgMar w:top="993" w:right="850" w:bottom="850" w:left="85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105D" w:rsidRDefault="00EB105D" w:rsidP="000E2C9F">
      <w:r>
        <w:separator/>
      </w:r>
    </w:p>
  </w:endnote>
  <w:endnote w:type="continuationSeparator" w:id="0">
    <w:p w:rsidR="00EB105D" w:rsidRDefault="00EB105D" w:rsidP="000E2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105D" w:rsidRDefault="00EB105D" w:rsidP="000E2C9F">
      <w:r>
        <w:separator/>
      </w:r>
    </w:p>
  </w:footnote>
  <w:footnote w:type="continuationSeparator" w:id="0">
    <w:p w:rsidR="00EB105D" w:rsidRDefault="00EB105D" w:rsidP="000E2C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0770324"/>
      <w:docPartObj>
        <w:docPartGallery w:val="Page Numbers (Top of Page)"/>
        <w:docPartUnique/>
      </w:docPartObj>
    </w:sdtPr>
    <w:sdtEndPr/>
    <w:sdtContent>
      <w:p w:rsidR="000E2C9F" w:rsidRDefault="000E2C9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0A6A">
          <w:rPr>
            <w:noProof/>
          </w:rPr>
          <w:t>2</w:t>
        </w:r>
        <w:r>
          <w:fldChar w:fldCharType="end"/>
        </w:r>
      </w:p>
    </w:sdtContent>
  </w:sdt>
  <w:p w:rsidR="000E2C9F" w:rsidRDefault="000E2C9F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6605DA"/>
    <w:multiLevelType w:val="hybridMultilevel"/>
    <w:tmpl w:val="71A66C9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5B41"/>
    <w:rsid w:val="00000564"/>
    <w:rsid w:val="000066D3"/>
    <w:rsid w:val="000E2C9F"/>
    <w:rsid w:val="001131FE"/>
    <w:rsid w:val="00162777"/>
    <w:rsid w:val="001D3087"/>
    <w:rsid w:val="00206446"/>
    <w:rsid w:val="002546CF"/>
    <w:rsid w:val="002A3B37"/>
    <w:rsid w:val="002C0B14"/>
    <w:rsid w:val="002C44E2"/>
    <w:rsid w:val="002D1FAA"/>
    <w:rsid w:val="003255F2"/>
    <w:rsid w:val="00416D8C"/>
    <w:rsid w:val="004E29CD"/>
    <w:rsid w:val="005306F2"/>
    <w:rsid w:val="005B5591"/>
    <w:rsid w:val="005B7A56"/>
    <w:rsid w:val="005C599D"/>
    <w:rsid w:val="00630B4F"/>
    <w:rsid w:val="006D4F91"/>
    <w:rsid w:val="007C0E30"/>
    <w:rsid w:val="007C6E39"/>
    <w:rsid w:val="00841045"/>
    <w:rsid w:val="00862063"/>
    <w:rsid w:val="00881FB1"/>
    <w:rsid w:val="00882A3E"/>
    <w:rsid w:val="00887F45"/>
    <w:rsid w:val="008E304E"/>
    <w:rsid w:val="00A2630A"/>
    <w:rsid w:val="00A80B54"/>
    <w:rsid w:val="00AE2520"/>
    <w:rsid w:val="00AF0609"/>
    <w:rsid w:val="00B475FF"/>
    <w:rsid w:val="00B74CF1"/>
    <w:rsid w:val="00BF2E63"/>
    <w:rsid w:val="00C0286C"/>
    <w:rsid w:val="00C6537D"/>
    <w:rsid w:val="00D834EA"/>
    <w:rsid w:val="00D92254"/>
    <w:rsid w:val="00E26E24"/>
    <w:rsid w:val="00E50818"/>
    <w:rsid w:val="00E95B41"/>
    <w:rsid w:val="00EB105D"/>
    <w:rsid w:val="00ED5815"/>
    <w:rsid w:val="00F00A6A"/>
    <w:rsid w:val="00F042A3"/>
    <w:rsid w:val="00FA0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C9B3B"/>
  <w15:chartTrackingRefBased/>
  <w15:docId w15:val="{A0902508-62F5-4271-88A1-5B9CD16A7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5B41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paragraph" w:styleId="3">
    <w:name w:val="heading 3"/>
    <w:basedOn w:val="a"/>
    <w:link w:val="30"/>
    <w:uiPriority w:val="9"/>
    <w:qFormat/>
    <w:rsid w:val="00E95B41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95B41"/>
    <w:rPr>
      <w:rFonts w:ascii="Times New Roman" w:eastAsiaTheme="minorEastAsia" w:hAnsi="Times New Roman" w:cs="Times New Roman"/>
      <w:b/>
      <w:bCs/>
      <w:sz w:val="27"/>
      <w:szCs w:val="27"/>
      <w:lang w:eastAsia="uk-UA"/>
    </w:rPr>
  </w:style>
  <w:style w:type="paragraph" w:styleId="a3">
    <w:name w:val="Normal (Web)"/>
    <w:basedOn w:val="a"/>
    <w:uiPriority w:val="99"/>
    <w:unhideWhenUsed/>
    <w:rsid w:val="00E95B41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6D4F91"/>
    <w:pPr>
      <w:ind w:left="720"/>
      <w:contextualSpacing/>
    </w:pPr>
  </w:style>
  <w:style w:type="table" w:styleId="a5">
    <w:name w:val="Table Grid"/>
    <w:basedOn w:val="a1"/>
    <w:uiPriority w:val="39"/>
    <w:rsid w:val="006D4F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0E2C9F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0E2C9F"/>
    <w:rPr>
      <w:rFonts w:ascii="Times New Roman" w:eastAsiaTheme="minorEastAsia" w:hAnsi="Times New Roman" w:cs="Times New Roman"/>
      <w:sz w:val="24"/>
      <w:szCs w:val="24"/>
      <w:lang w:eastAsia="uk-UA"/>
    </w:rPr>
  </w:style>
  <w:style w:type="paragraph" w:styleId="a8">
    <w:name w:val="footer"/>
    <w:basedOn w:val="a"/>
    <w:link w:val="a9"/>
    <w:uiPriority w:val="99"/>
    <w:unhideWhenUsed/>
    <w:rsid w:val="000E2C9F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0E2C9F"/>
    <w:rPr>
      <w:rFonts w:ascii="Times New Roman" w:eastAsiaTheme="minorEastAsia" w:hAnsi="Times New Roman" w:cs="Times New Roman"/>
      <w:sz w:val="24"/>
      <w:szCs w:val="24"/>
      <w:lang w:eastAsia="uk-UA"/>
    </w:rPr>
  </w:style>
  <w:style w:type="paragraph" w:styleId="aa">
    <w:name w:val="Balloon Text"/>
    <w:basedOn w:val="a"/>
    <w:link w:val="ab"/>
    <w:uiPriority w:val="99"/>
    <w:semiHidden/>
    <w:unhideWhenUsed/>
    <w:rsid w:val="00BF2E63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BF2E63"/>
    <w:rPr>
      <w:rFonts w:ascii="Segoe UI" w:eastAsiaTheme="minorEastAsia" w:hAnsi="Segoe UI" w:cs="Segoe UI"/>
      <w:sz w:val="18"/>
      <w:szCs w:val="18"/>
      <w:lang w:eastAsia="uk-UA"/>
    </w:rPr>
  </w:style>
  <w:style w:type="character" w:customStyle="1" w:styleId="st">
    <w:name w:val="st"/>
    <w:basedOn w:val="a0"/>
    <w:rsid w:val="005B7A56"/>
  </w:style>
  <w:style w:type="character" w:styleId="ac">
    <w:name w:val="Emphasis"/>
    <w:basedOn w:val="a0"/>
    <w:uiPriority w:val="20"/>
    <w:qFormat/>
    <w:rsid w:val="005B7A5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251521-632D-44D6-AC7C-8A44B7D06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1464</Words>
  <Characters>836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ВОСКОВНЮК Валентина Миколаївна</dc:creator>
  <cp:keywords/>
  <dc:description/>
  <cp:lastModifiedBy>ДЮКОВА Олена Анатоліївна</cp:lastModifiedBy>
  <cp:revision>3</cp:revision>
  <cp:lastPrinted>2019-12-06T16:20:00Z</cp:lastPrinted>
  <dcterms:created xsi:type="dcterms:W3CDTF">2019-12-06T16:20:00Z</dcterms:created>
  <dcterms:modified xsi:type="dcterms:W3CDTF">2019-12-06T16:56:00Z</dcterms:modified>
</cp:coreProperties>
</file>