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3DE" w:rsidRDefault="00CE73DE" w:rsidP="00CE73DE">
      <w:pPr>
        <w:spacing w:after="0" w:line="240" w:lineRule="auto"/>
        <w:ind w:right="85"/>
        <w:jc w:val="right"/>
        <w:rPr>
          <w:rFonts w:ascii="Times New Roman" w:hAnsi="Times New Roman"/>
          <w:sz w:val="24"/>
          <w:szCs w:val="24"/>
        </w:rPr>
      </w:pPr>
      <w:r>
        <w:rPr>
          <w:rFonts w:ascii="Times New Roman" w:hAnsi="Times New Roman"/>
          <w:sz w:val="24"/>
          <w:szCs w:val="24"/>
        </w:rPr>
        <w:t xml:space="preserve">До реєстр. № </w:t>
      </w:r>
      <w:r>
        <w:rPr>
          <w:rFonts w:ascii="Times New Roman" w:hAnsi="Times New Roman"/>
          <w:sz w:val="24"/>
          <w:szCs w:val="24"/>
          <w:lang w:val="ru-RU"/>
        </w:rPr>
        <w:t xml:space="preserve">2618 </w:t>
      </w:r>
    </w:p>
    <w:p w:rsidR="00CE73DE" w:rsidRDefault="00CE73DE" w:rsidP="00CE73DE">
      <w:pPr>
        <w:spacing w:after="0" w:line="240" w:lineRule="auto"/>
        <w:ind w:right="85"/>
        <w:jc w:val="right"/>
        <w:rPr>
          <w:rFonts w:ascii="Times New Roman" w:hAnsi="Times New Roman"/>
          <w:sz w:val="24"/>
          <w:szCs w:val="24"/>
        </w:rPr>
      </w:pPr>
      <w:r>
        <w:rPr>
          <w:rFonts w:ascii="Times New Roman" w:hAnsi="Times New Roman"/>
          <w:sz w:val="24"/>
          <w:szCs w:val="24"/>
        </w:rPr>
        <w:t>(друге читання)</w:t>
      </w:r>
    </w:p>
    <w:p w:rsidR="00CE73DE" w:rsidRDefault="00CE73DE" w:rsidP="00CE73DE">
      <w:pPr>
        <w:jc w:val="center"/>
        <w:rPr>
          <w:rFonts w:asciiTheme="minorHAnsi" w:hAnsiTheme="minorHAnsi"/>
          <w:sz w:val="28"/>
          <w:szCs w:val="28"/>
        </w:rPr>
      </w:pPr>
    </w:p>
    <w:p w:rsidR="00CE73DE" w:rsidRDefault="00CE73DE" w:rsidP="00CE73DE">
      <w:pPr>
        <w:tabs>
          <w:tab w:val="left" w:pos="993"/>
        </w:tabs>
        <w:spacing w:after="0"/>
        <w:jc w:val="center"/>
        <w:rPr>
          <w:rFonts w:ascii="Times New Roman" w:hAnsi="Times New Roman"/>
          <w:b/>
          <w:sz w:val="28"/>
          <w:szCs w:val="28"/>
        </w:rPr>
      </w:pPr>
      <w:r>
        <w:rPr>
          <w:rFonts w:ascii="Times New Roman" w:hAnsi="Times New Roman"/>
          <w:b/>
          <w:sz w:val="28"/>
          <w:szCs w:val="28"/>
        </w:rPr>
        <w:t>ЗАУВАЖЕННЯ</w:t>
      </w:r>
    </w:p>
    <w:p w:rsidR="00CE73DE" w:rsidRDefault="00CE73DE" w:rsidP="00CE73DE">
      <w:pPr>
        <w:tabs>
          <w:tab w:val="left" w:pos="993"/>
        </w:tabs>
        <w:spacing w:after="0"/>
        <w:jc w:val="center"/>
        <w:rPr>
          <w:rFonts w:ascii="Times New Roman" w:hAnsi="Times New Roman"/>
          <w:sz w:val="28"/>
          <w:szCs w:val="28"/>
        </w:rPr>
      </w:pPr>
      <w:r>
        <w:rPr>
          <w:rFonts w:ascii="Times New Roman" w:hAnsi="Times New Roman"/>
          <w:sz w:val="28"/>
          <w:szCs w:val="28"/>
        </w:rPr>
        <w:t xml:space="preserve">до проекту Закону України </w:t>
      </w:r>
    </w:p>
    <w:p w:rsidR="00CE73DE" w:rsidRDefault="00CE73DE" w:rsidP="00CE73DE">
      <w:pPr>
        <w:pStyle w:val="ac"/>
        <w:widowControl w:val="0"/>
        <w:jc w:val="center"/>
        <w:rPr>
          <w:szCs w:val="28"/>
        </w:rPr>
      </w:pPr>
      <w:r>
        <w:rPr>
          <w:color w:val="000000"/>
        </w:rPr>
        <w:t>про</w:t>
      </w:r>
      <w:r>
        <w:rPr>
          <w:color w:val="333333"/>
        </w:rPr>
        <w:t xml:space="preserve"> </w:t>
      </w:r>
      <w:r>
        <w:t xml:space="preserve">внесення змін до Закону України “Про </w:t>
      </w:r>
      <w:r>
        <w:rPr>
          <w:bCs/>
        </w:rPr>
        <w:t>протимінну діяльність в Україні</w:t>
      </w:r>
      <w:r>
        <w:t xml:space="preserve">” </w:t>
      </w:r>
    </w:p>
    <w:p w:rsidR="00CE73DE" w:rsidRDefault="00CE73DE" w:rsidP="00CE73DE">
      <w:pPr>
        <w:tabs>
          <w:tab w:val="left" w:pos="993"/>
        </w:tabs>
        <w:spacing w:after="0"/>
        <w:ind w:right="85"/>
        <w:jc w:val="center"/>
        <w:rPr>
          <w:rFonts w:ascii="Times New Roman" w:hAnsi="Times New Roman"/>
          <w:sz w:val="28"/>
          <w:szCs w:val="28"/>
        </w:rPr>
      </w:pPr>
      <w:r>
        <w:rPr>
          <w:rFonts w:ascii="Times New Roman" w:hAnsi="Times New Roman"/>
          <w:sz w:val="28"/>
          <w:szCs w:val="28"/>
        </w:rPr>
        <w:t>(реєстраційний № 2</w:t>
      </w:r>
      <w:r>
        <w:rPr>
          <w:rFonts w:ascii="Times New Roman" w:hAnsi="Times New Roman"/>
          <w:sz w:val="28"/>
          <w:szCs w:val="28"/>
          <w:lang w:val="ru-RU"/>
        </w:rPr>
        <w:t>618</w:t>
      </w:r>
      <w:r>
        <w:rPr>
          <w:rFonts w:ascii="Times New Roman" w:hAnsi="Times New Roman"/>
          <w:sz w:val="28"/>
          <w:szCs w:val="28"/>
        </w:rPr>
        <w:t>)</w:t>
      </w:r>
    </w:p>
    <w:p w:rsidR="00CE73DE" w:rsidRDefault="00CE73DE" w:rsidP="00CE73DE">
      <w:pPr>
        <w:rPr>
          <w:rFonts w:asciiTheme="minorHAnsi" w:hAnsiTheme="minorHAnsi"/>
          <w:lang w:val="ru-RU"/>
        </w:rPr>
      </w:pPr>
    </w:p>
    <w:p w:rsidR="00CE73DE" w:rsidRPr="00CE73DE" w:rsidRDefault="00CE73DE" w:rsidP="00CE73DE">
      <w:pPr>
        <w:spacing w:after="120" w:line="264" w:lineRule="auto"/>
        <w:ind w:firstLine="709"/>
        <w:jc w:val="both"/>
        <w:rPr>
          <w:rFonts w:ascii="Times New Roman" w:hAnsi="Times New Roman"/>
          <w:sz w:val="28"/>
          <w:szCs w:val="28"/>
        </w:rPr>
      </w:pPr>
      <w:r w:rsidRPr="00CE73DE">
        <w:rPr>
          <w:rFonts w:ascii="Times New Roman" w:hAnsi="Times New Roman"/>
          <w:sz w:val="28"/>
          <w:szCs w:val="28"/>
        </w:rPr>
        <w:t xml:space="preserve">У Головному юридичному управлінні в надзвичайно стислий термін здійснено юридичну експертизу підготовленого до другого читання Комітетом з питань національної безпеки, оборони та розвідки проекту Закону України про внесення змін до Закону України “Про </w:t>
      </w:r>
      <w:r w:rsidRPr="00CE73DE">
        <w:rPr>
          <w:rFonts w:ascii="Times New Roman" w:hAnsi="Times New Roman"/>
          <w:bCs/>
          <w:sz w:val="28"/>
          <w:szCs w:val="28"/>
        </w:rPr>
        <w:t>протимінну діяльність в Україні</w:t>
      </w:r>
      <w:r w:rsidRPr="00CE73DE">
        <w:rPr>
          <w:rFonts w:ascii="Times New Roman" w:hAnsi="Times New Roman"/>
          <w:sz w:val="28"/>
          <w:szCs w:val="28"/>
        </w:rPr>
        <w:t>”.</w:t>
      </w:r>
    </w:p>
    <w:p w:rsidR="00CE73DE" w:rsidRPr="00CE73DE" w:rsidRDefault="00CE73DE" w:rsidP="00CE73DE">
      <w:pPr>
        <w:spacing w:after="120" w:line="264" w:lineRule="auto"/>
        <w:ind w:firstLine="708"/>
        <w:jc w:val="both"/>
        <w:rPr>
          <w:rFonts w:ascii="Times New Roman" w:hAnsi="Times New Roman"/>
          <w:sz w:val="28"/>
          <w:szCs w:val="28"/>
        </w:rPr>
      </w:pPr>
      <w:r w:rsidRPr="00CE73DE">
        <w:rPr>
          <w:rFonts w:ascii="Times New Roman" w:hAnsi="Times New Roman"/>
          <w:sz w:val="28"/>
          <w:szCs w:val="28"/>
        </w:rPr>
        <w:t>Поданим законопроектом передбачається здійснити оптимізацію системи протимінної діяльності в Україні та привести окремі положення чинного Закону у відповідність до законодавства України, зокрема в частині термінології у сфері протимінної діяльності, акредитації органу з оцінки відповідності, сертифікації операторів протимінної діяльності, стандартизації у сфері протимінної діяльності, створення системи контролю якості тощо.</w:t>
      </w:r>
    </w:p>
    <w:p w:rsidR="00CE73DE" w:rsidRPr="00CE73DE" w:rsidRDefault="00CE73DE" w:rsidP="00CE73DE">
      <w:pPr>
        <w:spacing w:after="120" w:line="264" w:lineRule="auto"/>
        <w:ind w:firstLine="708"/>
        <w:jc w:val="both"/>
        <w:rPr>
          <w:rFonts w:ascii="Times New Roman" w:hAnsi="Times New Roman"/>
          <w:color w:val="000000"/>
          <w:sz w:val="28"/>
          <w:szCs w:val="28"/>
        </w:rPr>
      </w:pPr>
      <w:r w:rsidRPr="00CE73DE">
        <w:rPr>
          <w:rFonts w:ascii="Times New Roman" w:hAnsi="Times New Roman"/>
          <w:color w:val="000000"/>
          <w:sz w:val="28"/>
          <w:szCs w:val="28"/>
        </w:rPr>
        <w:t>Окремі положення законопроекту не узгоджуються з нормами Конституції та законів України, а також не враховують правової позиції Конституційного Суду України, викладеної у відповідних рішеннях.</w:t>
      </w:r>
    </w:p>
    <w:p w:rsidR="00CE73DE" w:rsidRPr="00CE73DE" w:rsidRDefault="00CE73DE" w:rsidP="00CE73DE">
      <w:pPr>
        <w:pStyle w:val="af0"/>
        <w:numPr>
          <w:ilvl w:val="0"/>
          <w:numId w:val="21"/>
        </w:numPr>
        <w:spacing w:after="120" w:line="264" w:lineRule="auto"/>
        <w:ind w:left="0" w:firstLine="708"/>
        <w:contextualSpacing w:val="0"/>
        <w:jc w:val="both"/>
        <w:rPr>
          <w:rFonts w:ascii="Times New Roman" w:hAnsi="Times New Roman"/>
          <w:color w:val="000000"/>
          <w:sz w:val="28"/>
          <w:szCs w:val="28"/>
        </w:rPr>
      </w:pPr>
      <w:r w:rsidRPr="00CE73DE">
        <w:rPr>
          <w:rFonts w:ascii="Times New Roman" w:hAnsi="Times New Roman"/>
          <w:color w:val="000000"/>
          <w:sz w:val="28"/>
          <w:szCs w:val="28"/>
        </w:rPr>
        <w:t xml:space="preserve">Підпунктом 15 законопроекту, яким планується </w:t>
      </w:r>
      <w:proofErr w:type="spellStart"/>
      <w:r w:rsidRPr="00CE73DE">
        <w:rPr>
          <w:rFonts w:ascii="Times New Roman" w:hAnsi="Times New Roman"/>
          <w:color w:val="000000"/>
          <w:sz w:val="28"/>
          <w:szCs w:val="28"/>
        </w:rPr>
        <w:t>внести</w:t>
      </w:r>
      <w:proofErr w:type="spellEnd"/>
      <w:r w:rsidRPr="00CE73DE">
        <w:rPr>
          <w:rFonts w:ascii="Times New Roman" w:hAnsi="Times New Roman"/>
          <w:color w:val="000000"/>
          <w:sz w:val="28"/>
          <w:szCs w:val="28"/>
        </w:rPr>
        <w:t xml:space="preserve"> зміни до частини другої статті 21 чинного Закону</w:t>
      </w:r>
      <w:r w:rsidR="00473D50" w:rsidRPr="00473D50">
        <w:rPr>
          <w:rFonts w:ascii="Times New Roman" w:hAnsi="Times New Roman"/>
          <w:color w:val="000000"/>
          <w:sz w:val="28"/>
          <w:szCs w:val="28"/>
        </w:rPr>
        <w:t xml:space="preserve"> </w:t>
      </w:r>
      <w:r w:rsidR="00473D50">
        <w:rPr>
          <w:rFonts w:ascii="Times New Roman" w:hAnsi="Times New Roman"/>
          <w:color w:val="000000"/>
          <w:sz w:val="28"/>
          <w:szCs w:val="28"/>
        </w:rPr>
        <w:t xml:space="preserve">України </w:t>
      </w:r>
      <w:r w:rsidR="00473D50" w:rsidRPr="00CE73DE">
        <w:rPr>
          <w:rFonts w:ascii="Times New Roman" w:hAnsi="Times New Roman"/>
          <w:sz w:val="28"/>
          <w:szCs w:val="28"/>
        </w:rPr>
        <w:t xml:space="preserve">“Про </w:t>
      </w:r>
      <w:r w:rsidR="00473D50" w:rsidRPr="00CE73DE">
        <w:rPr>
          <w:rFonts w:ascii="Times New Roman" w:hAnsi="Times New Roman"/>
          <w:bCs/>
          <w:sz w:val="28"/>
          <w:szCs w:val="28"/>
        </w:rPr>
        <w:t>протимінну діяльність в Україні</w:t>
      </w:r>
      <w:r w:rsidR="00473D50" w:rsidRPr="00CE73DE">
        <w:rPr>
          <w:rFonts w:ascii="Times New Roman" w:hAnsi="Times New Roman"/>
          <w:sz w:val="28"/>
          <w:szCs w:val="28"/>
        </w:rPr>
        <w:t>”</w:t>
      </w:r>
      <w:r w:rsidRPr="00CE73DE">
        <w:rPr>
          <w:rFonts w:ascii="Times New Roman" w:hAnsi="Times New Roman"/>
          <w:color w:val="000000"/>
          <w:sz w:val="28"/>
          <w:szCs w:val="28"/>
        </w:rPr>
        <w:t xml:space="preserve">, передбачається віднести до відання Кабінету Міністрів України визначення повноважень </w:t>
      </w:r>
      <w:r w:rsidRPr="00CE73DE">
        <w:rPr>
          <w:rFonts w:ascii="Times New Roman" w:hAnsi="Times New Roman"/>
          <w:sz w:val="28"/>
          <w:szCs w:val="28"/>
        </w:rPr>
        <w:t xml:space="preserve">міністерств та інших центральних органів виконавчої влади у сфері протимінної відповідно до пропозицій національного органу з питань протимінної діяльності. Такий нормотворчий підхід не враховує вимог частини другої статті 19 та 120 Конституції України, за якими органи державної влади зобов’язані діяти лише на підставі, в межах повноважень та у спосіб, що передбачені Конституцією та законами України; організація, повноваження і порядок діяльності Кабінету Міністрів України, </w:t>
      </w:r>
      <w:r w:rsidRPr="00CE73DE">
        <w:rPr>
          <w:rFonts w:ascii="Times New Roman" w:hAnsi="Times New Roman"/>
          <w:sz w:val="28"/>
          <w:szCs w:val="28"/>
        </w:rPr>
        <w:lastRenderedPageBreak/>
        <w:t>інших центральних та місцевих органів виконавчої влади визначаються Конституцією і законами України.</w:t>
      </w:r>
    </w:p>
    <w:p w:rsidR="00CE73DE" w:rsidRPr="00CE73DE" w:rsidRDefault="00CE73DE" w:rsidP="00CE73DE">
      <w:pPr>
        <w:pStyle w:val="af0"/>
        <w:tabs>
          <w:tab w:val="left" w:pos="0"/>
        </w:tabs>
        <w:spacing w:after="120" w:line="264" w:lineRule="auto"/>
        <w:ind w:left="0" w:right="85" w:firstLine="708"/>
        <w:contextualSpacing w:val="0"/>
        <w:jc w:val="both"/>
        <w:rPr>
          <w:rFonts w:ascii="Times New Roman" w:hAnsi="Times New Roman"/>
          <w:sz w:val="28"/>
          <w:szCs w:val="28"/>
        </w:rPr>
      </w:pPr>
      <w:r w:rsidRPr="00CE73DE">
        <w:rPr>
          <w:rFonts w:ascii="Times New Roman" w:hAnsi="Times New Roman"/>
          <w:sz w:val="28"/>
          <w:szCs w:val="28"/>
        </w:rPr>
        <w:t>Крім того, законопроектом не встановлюється правовий механізм неврахування пропозицій національного органу з питань протимінної діяльності, що так само не узгоджується з вимогами частини другої статей 19 і 120 Конституції України.</w:t>
      </w:r>
    </w:p>
    <w:p w:rsidR="00CE73DE" w:rsidRPr="00CE73DE" w:rsidRDefault="00CE73DE" w:rsidP="00CE73DE">
      <w:pPr>
        <w:pStyle w:val="af0"/>
        <w:numPr>
          <w:ilvl w:val="0"/>
          <w:numId w:val="21"/>
        </w:numPr>
        <w:spacing w:after="120" w:line="264" w:lineRule="auto"/>
        <w:ind w:left="0" w:firstLine="708"/>
        <w:contextualSpacing w:val="0"/>
        <w:jc w:val="both"/>
        <w:rPr>
          <w:rFonts w:ascii="Times New Roman" w:hAnsi="Times New Roman"/>
          <w:sz w:val="28"/>
          <w:szCs w:val="28"/>
        </w:rPr>
      </w:pPr>
      <w:r w:rsidRPr="00CE73DE">
        <w:rPr>
          <w:rFonts w:ascii="Times New Roman" w:hAnsi="Times New Roman"/>
          <w:sz w:val="28"/>
          <w:szCs w:val="28"/>
        </w:rPr>
        <w:t xml:space="preserve">Статтею 23 Закону України “Про </w:t>
      </w:r>
      <w:r w:rsidRPr="00CE73DE">
        <w:rPr>
          <w:rFonts w:ascii="Times New Roman" w:hAnsi="Times New Roman"/>
          <w:bCs/>
          <w:sz w:val="28"/>
          <w:szCs w:val="28"/>
        </w:rPr>
        <w:t>протимінну діяльність в Україні</w:t>
      </w:r>
      <w:r w:rsidRPr="00CE73DE">
        <w:rPr>
          <w:rFonts w:ascii="Times New Roman" w:hAnsi="Times New Roman"/>
          <w:sz w:val="28"/>
          <w:szCs w:val="28"/>
        </w:rPr>
        <w:t>” в редакції законопроекту передбачається віднести до компетенції Кабінету Міністрів України утворення національного органу з питань протимінної діяльності у статусі міжвідомчого допоміжного органу, який діє за колегіальним принципом під головуванням Міністра оборони України для організації координації діяльності міністерств, інших центральних та місцевих органів виконавчої влади, органів місцевого самоврядування, підприємств та організацій незалежно від форми власності (крім тих, що належать до сфери управління міністерств та інших центральних органів виконавчої влади), що залучаються до проведення заходів у сфері протимінної діяльності.</w:t>
      </w:r>
    </w:p>
    <w:p w:rsidR="00CE73DE" w:rsidRPr="00CE73DE" w:rsidRDefault="00CE73DE" w:rsidP="00CE73DE">
      <w:pPr>
        <w:spacing w:after="120" w:line="264" w:lineRule="auto"/>
        <w:ind w:firstLine="708"/>
        <w:jc w:val="both"/>
        <w:rPr>
          <w:rFonts w:ascii="Times New Roman" w:hAnsi="Times New Roman"/>
          <w:sz w:val="28"/>
          <w:szCs w:val="28"/>
        </w:rPr>
      </w:pPr>
      <w:r w:rsidRPr="00CE73DE">
        <w:rPr>
          <w:rFonts w:ascii="Times New Roman" w:hAnsi="Times New Roman"/>
          <w:sz w:val="28"/>
          <w:szCs w:val="28"/>
        </w:rPr>
        <w:t xml:space="preserve">Разом з тим, порядок утворення, визначення складу та завдань консультативних, дорадчих та інших органів, що утворюються Кабінетом Міністрів України, вже визначений статтею 48 Закону України “Про Кабінет Міністрів України”. </w:t>
      </w:r>
    </w:p>
    <w:p w:rsidR="00CE73DE" w:rsidRPr="00CE73DE" w:rsidRDefault="00CE73DE" w:rsidP="00CE73DE">
      <w:pPr>
        <w:pStyle w:val="ParagraphStyle"/>
        <w:spacing w:after="120" w:line="264" w:lineRule="auto"/>
        <w:ind w:firstLine="708"/>
        <w:jc w:val="both"/>
        <w:rPr>
          <w:rFonts w:ascii="Times New Roman" w:hAnsi="Times New Roman" w:cs="Times New Roman"/>
          <w:sz w:val="28"/>
          <w:szCs w:val="28"/>
          <w:lang w:val="uk-UA"/>
        </w:rPr>
      </w:pPr>
      <w:r w:rsidRPr="00CE73DE">
        <w:rPr>
          <w:rFonts w:ascii="Times New Roman" w:hAnsi="Times New Roman" w:cs="Times New Roman"/>
          <w:sz w:val="28"/>
          <w:szCs w:val="28"/>
          <w:lang w:val="uk-UA"/>
        </w:rPr>
        <w:t>Тому вважаємо, що законодавче визначення о</w:t>
      </w:r>
      <w:r w:rsidRPr="00CE73DE">
        <w:rPr>
          <w:rStyle w:val="FontStyle"/>
          <w:rFonts w:ascii="Times New Roman" w:hAnsi="Times New Roman" w:cs="Times New Roman"/>
          <w:sz w:val="28"/>
          <w:szCs w:val="28"/>
          <w:lang w:val="uk-UA"/>
        </w:rPr>
        <w:t>собливостей п</w:t>
      </w:r>
      <w:r w:rsidRPr="00CE73DE">
        <w:rPr>
          <w:rFonts w:ascii="Times New Roman" w:hAnsi="Times New Roman" w:cs="Times New Roman"/>
          <w:sz w:val="28"/>
          <w:szCs w:val="28"/>
          <w:lang w:val="uk-UA"/>
        </w:rPr>
        <w:t>равового статусу національного органу з питань протимінної діяльності, його завдань, функцій його секретаріату не випливає з конституційної моделі організації влади в Україні, що базується на положеннях статті 6 Конституції України, за якою державна влада в Україні здійснюється на засадах її поділу на законодавчу, виконавчу та судову, й не належить до повноважень Верховної Ради України, віднесених до її відання Основним Законом України.</w:t>
      </w:r>
    </w:p>
    <w:p w:rsidR="00CE73DE" w:rsidRPr="00CE73DE" w:rsidRDefault="00CE73DE" w:rsidP="00CE73DE">
      <w:pPr>
        <w:pStyle w:val="ParagraphStyle"/>
        <w:spacing w:after="120" w:line="264" w:lineRule="auto"/>
        <w:ind w:firstLine="720"/>
        <w:jc w:val="both"/>
        <w:rPr>
          <w:rFonts w:ascii="Times New Roman" w:hAnsi="Times New Roman" w:cs="Times New Roman"/>
          <w:bCs/>
          <w:sz w:val="28"/>
          <w:szCs w:val="28"/>
          <w:lang w:val="uk-UA"/>
        </w:rPr>
      </w:pPr>
      <w:r w:rsidRPr="00CE73DE">
        <w:rPr>
          <w:rFonts w:ascii="Times New Roman" w:hAnsi="Times New Roman" w:cs="Times New Roman"/>
          <w:sz w:val="28"/>
          <w:szCs w:val="28"/>
          <w:lang w:val="uk-UA"/>
        </w:rPr>
        <w:t>Як відомо, Конституція України не містить конституційних підстав для розширення законом повноважень Верховної Ради України щодо утворення законом міжвідомчих допоміжних органів при Кабінеті Міністрів України</w:t>
      </w:r>
      <w:r w:rsidRPr="00CE73DE">
        <w:rPr>
          <w:rFonts w:ascii="Times New Roman" w:hAnsi="Times New Roman" w:cs="Times New Roman"/>
          <w:bCs/>
          <w:sz w:val="28"/>
          <w:szCs w:val="28"/>
          <w:lang w:val="uk-UA"/>
        </w:rPr>
        <w:t xml:space="preserve">. Так, Конституційний Суд України у своєму рішенні від 7 квітня 2004 року № 9-рп/2004 у справі про Координаційний комітет установив, що </w:t>
      </w:r>
      <w:r w:rsidRPr="00CE73DE">
        <w:rPr>
          <w:rFonts w:ascii="Times New Roman" w:hAnsi="Times New Roman" w:cs="Times New Roman"/>
          <w:sz w:val="28"/>
          <w:szCs w:val="28"/>
          <w:lang w:val="uk-UA"/>
        </w:rPr>
        <w:t>"п</w:t>
      </w:r>
      <w:r w:rsidRPr="00CE73DE">
        <w:rPr>
          <w:rFonts w:ascii="Times New Roman" w:hAnsi="Times New Roman" w:cs="Times New Roman"/>
          <w:color w:val="000000"/>
          <w:sz w:val="28"/>
          <w:szCs w:val="28"/>
          <w:lang w:val="uk-UA"/>
        </w:rPr>
        <w:t>овноваження Верховної Ради України, як і повноваження Президента України, визначаються Конституцією України (статті 85, 106)</w:t>
      </w:r>
      <w:r w:rsidRPr="00CE73DE">
        <w:rPr>
          <w:rFonts w:ascii="Times New Roman" w:hAnsi="Times New Roman" w:cs="Times New Roman"/>
          <w:sz w:val="28"/>
          <w:szCs w:val="28"/>
          <w:lang w:val="uk-UA"/>
        </w:rPr>
        <w:t>"</w:t>
      </w:r>
      <w:r w:rsidRPr="00CE73DE">
        <w:rPr>
          <w:rFonts w:ascii="Times New Roman" w:hAnsi="Times New Roman" w:cs="Times New Roman"/>
          <w:color w:val="000000"/>
          <w:sz w:val="28"/>
          <w:szCs w:val="28"/>
          <w:lang w:val="uk-UA"/>
        </w:rPr>
        <w:t>.</w:t>
      </w:r>
    </w:p>
    <w:p w:rsidR="00CE73DE" w:rsidRPr="00CE73DE" w:rsidRDefault="00CE73DE" w:rsidP="00CE73DE">
      <w:pPr>
        <w:pStyle w:val="ParagraphStyle"/>
        <w:spacing w:after="120" w:line="264" w:lineRule="auto"/>
        <w:ind w:firstLine="709"/>
        <w:jc w:val="both"/>
        <w:rPr>
          <w:rFonts w:ascii="Times New Roman" w:hAnsi="Times New Roman" w:cs="Times New Roman"/>
          <w:color w:val="000000"/>
          <w:sz w:val="28"/>
          <w:szCs w:val="28"/>
          <w:lang w:val="uk-UA"/>
        </w:rPr>
      </w:pPr>
      <w:r w:rsidRPr="00CE73DE">
        <w:rPr>
          <w:rFonts w:ascii="Times New Roman" w:hAnsi="Times New Roman" w:cs="Times New Roman"/>
          <w:color w:val="000000"/>
          <w:sz w:val="28"/>
          <w:szCs w:val="28"/>
          <w:lang w:val="uk-UA"/>
        </w:rPr>
        <w:t xml:space="preserve">Тому вважаємо, що </w:t>
      </w:r>
      <w:r w:rsidR="00473D50">
        <w:rPr>
          <w:rFonts w:ascii="Times New Roman" w:hAnsi="Times New Roman" w:cs="Times New Roman"/>
          <w:color w:val="000000"/>
          <w:sz w:val="28"/>
          <w:szCs w:val="28"/>
          <w:lang w:val="uk-UA"/>
        </w:rPr>
        <w:t>законопроектом</w:t>
      </w:r>
      <w:r w:rsidRPr="00CE73DE">
        <w:rPr>
          <w:rFonts w:ascii="Times New Roman" w:hAnsi="Times New Roman" w:cs="Times New Roman"/>
          <w:color w:val="000000"/>
          <w:sz w:val="28"/>
          <w:szCs w:val="28"/>
          <w:lang w:val="uk-UA"/>
        </w:rPr>
        <w:t xml:space="preserve"> створюються передумови, що містять ознаки втручання Верховної Ради України в компетенцію Уряду України, визначену статтею 116 Основного Закону України, що не відповідає приписам статей 6 та 19 Конституції України.</w:t>
      </w:r>
    </w:p>
    <w:p w:rsidR="00CE73DE" w:rsidRPr="00CE73DE" w:rsidRDefault="00CE73DE" w:rsidP="00CE73DE">
      <w:pPr>
        <w:pStyle w:val="ParagraphStyle"/>
        <w:spacing w:after="120" w:line="264" w:lineRule="auto"/>
        <w:ind w:firstLine="709"/>
        <w:jc w:val="both"/>
        <w:rPr>
          <w:rFonts w:ascii="Times New Roman" w:hAnsi="Times New Roman" w:cs="Times New Roman"/>
          <w:sz w:val="28"/>
          <w:szCs w:val="28"/>
          <w:lang w:val="uk-UA"/>
        </w:rPr>
      </w:pPr>
      <w:r w:rsidRPr="00CE73DE">
        <w:rPr>
          <w:rFonts w:ascii="Times New Roman" w:hAnsi="Times New Roman" w:cs="Times New Roman"/>
          <w:color w:val="000000"/>
          <w:sz w:val="28"/>
          <w:szCs w:val="28"/>
          <w:lang w:val="uk-UA"/>
        </w:rPr>
        <w:lastRenderedPageBreak/>
        <w:t xml:space="preserve">Так само за межами повноважень Верховної Ради України є визначення правового статусу, завдань та повноважень центру протимінної діяльності та центру гуманітарного розмінування, що </w:t>
      </w:r>
      <w:r w:rsidR="00473D50">
        <w:rPr>
          <w:rFonts w:ascii="Times New Roman" w:hAnsi="Times New Roman" w:cs="Times New Roman"/>
          <w:color w:val="000000"/>
          <w:sz w:val="28"/>
          <w:szCs w:val="28"/>
          <w:lang w:val="uk-UA"/>
        </w:rPr>
        <w:t xml:space="preserve">за законопроектом </w:t>
      </w:r>
      <w:r w:rsidRPr="00CE73DE">
        <w:rPr>
          <w:rFonts w:ascii="Times New Roman" w:hAnsi="Times New Roman" w:cs="Times New Roman"/>
          <w:color w:val="000000"/>
          <w:sz w:val="28"/>
          <w:szCs w:val="28"/>
          <w:lang w:val="uk-UA"/>
        </w:rPr>
        <w:t>є бюджетними установами, утвореними відповідними центральними органами виконавчої влади (ст. 25 та 25¹</w:t>
      </w:r>
      <w:r w:rsidRPr="00CE73DE">
        <w:rPr>
          <w:rFonts w:ascii="Times New Roman" w:hAnsi="Times New Roman" w:cs="Times New Roman"/>
          <w:sz w:val="28"/>
          <w:szCs w:val="28"/>
          <w:lang w:val="uk-UA"/>
        </w:rPr>
        <w:t xml:space="preserve"> Закону України “Про </w:t>
      </w:r>
      <w:r w:rsidRPr="00CE73DE">
        <w:rPr>
          <w:rFonts w:ascii="Times New Roman" w:hAnsi="Times New Roman" w:cs="Times New Roman"/>
          <w:bCs/>
          <w:sz w:val="28"/>
          <w:szCs w:val="28"/>
          <w:lang w:val="uk-UA"/>
        </w:rPr>
        <w:t>протимінну діяльність в Україні</w:t>
      </w:r>
      <w:r w:rsidRPr="00CE73DE">
        <w:rPr>
          <w:rFonts w:ascii="Times New Roman" w:hAnsi="Times New Roman" w:cs="Times New Roman"/>
          <w:sz w:val="28"/>
          <w:szCs w:val="28"/>
          <w:lang w:val="uk-UA"/>
        </w:rPr>
        <w:t>”</w:t>
      </w:r>
      <w:r w:rsidRPr="00CE73DE">
        <w:rPr>
          <w:rFonts w:ascii="Times New Roman" w:hAnsi="Times New Roman" w:cs="Times New Roman"/>
          <w:color w:val="000000"/>
          <w:sz w:val="28"/>
          <w:szCs w:val="28"/>
          <w:lang w:val="uk-UA"/>
        </w:rPr>
        <w:t xml:space="preserve"> </w:t>
      </w:r>
      <w:r w:rsidRPr="00CE73DE">
        <w:rPr>
          <w:rFonts w:ascii="Times New Roman" w:hAnsi="Times New Roman" w:cs="Times New Roman"/>
          <w:sz w:val="28"/>
          <w:szCs w:val="28"/>
          <w:lang w:val="uk-UA"/>
        </w:rPr>
        <w:t>в редакції</w:t>
      </w:r>
      <w:r w:rsidRPr="00CE73DE">
        <w:rPr>
          <w:rFonts w:ascii="Times New Roman" w:hAnsi="Times New Roman" w:cs="Times New Roman"/>
          <w:sz w:val="28"/>
          <w:szCs w:val="28"/>
        </w:rPr>
        <w:t xml:space="preserve"> законопроекту</w:t>
      </w:r>
      <w:r w:rsidRPr="00CE73DE">
        <w:rPr>
          <w:rFonts w:ascii="Times New Roman" w:hAnsi="Times New Roman" w:cs="Times New Roman"/>
          <w:sz w:val="28"/>
          <w:szCs w:val="28"/>
          <w:lang w:val="uk-UA"/>
        </w:rPr>
        <w:t>). Адже згідно з статтями 8 та 19 Закону України “Про цен</w:t>
      </w:r>
      <w:r w:rsidR="00473D50">
        <w:rPr>
          <w:rFonts w:ascii="Times New Roman" w:hAnsi="Times New Roman" w:cs="Times New Roman"/>
          <w:sz w:val="28"/>
          <w:szCs w:val="28"/>
          <w:lang w:val="uk-UA"/>
        </w:rPr>
        <w:t>тральні органи виконавчої влади</w:t>
      </w:r>
      <w:r w:rsidR="00473D50" w:rsidRPr="00CE73DE">
        <w:rPr>
          <w:rFonts w:ascii="Times New Roman" w:hAnsi="Times New Roman" w:cs="Times New Roman"/>
          <w:sz w:val="28"/>
          <w:szCs w:val="28"/>
          <w:lang w:val="uk-UA"/>
        </w:rPr>
        <w:t>”</w:t>
      </w:r>
      <w:r w:rsidRPr="00CE73DE">
        <w:rPr>
          <w:rFonts w:ascii="Times New Roman" w:hAnsi="Times New Roman" w:cs="Times New Roman"/>
          <w:sz w:val="28"/>
          <w:szCs w:val="28"/>
          <w:lang w:val="uk-UA"/>
        </w:rPr>
        <w:t xml:space="preserve"> повноваження з утворення, ліквідації, реорганізації </w:t>
      </w:r>
      <w:r w:rsidRPr="00CE73DE">
        <w:rPr>
          <w:rStyle w:val="st42"/>
          <w:sz w:val="28"/>
          <w:szCs w:val="28"/>
          <w:lang w:val="uk-UA"/>
        </w:rPr>
        <w:t>підприємств, установ, організацій, затвердження їхніх положень (статутів), призначення на посади та звільнення з посад їх керівників, здійснення інших функцій з управління об</w:t>
      </w:r>
      <w:r w:rsidR="00473D50">
        <w:rPr>
          <w:rStyle w:val="st42"/>
          <w:sz w:val="28"/>
          <w:szCs w:val="28"/>
          <w:lang w:val="uk-UA"/>
        </w:rPr>
        <w:t>’</w:t>
      </w:r>
      <w:r w:rsidRPr="00CE73DE">
        <w:rPr>
          <w:rStyle w:val="st42"/>
          <w:sz w:val="28"/>
          <w:szCs w:val="28"/>
          <w:lang w:val="uk-UA"/>
        </w:rPr>
        <w:t>єктами державної власності належать відповідному міністру або керівник</w:t>
      </w:r>
      <w:r w:rsidR="00473D50">
        <w:rPr>
          <w:rStyle w:val="st42"/>
          <w:sz w:val="28"/>
          <w:szCs w:val="28"/>
          <w:lang w:val="uk-UA"/>
        </w:rPr>
        <w:t>ові</w:t>
      </w:r>
      <w:r w:rsidRPr="00CE73DE">
        <w:rPr>
          <w:rStyle w:val="st42"/>
          <w:sz w:val="28"/>
          <w:szCs w:val="28"/>
          <w:lang w:val="uk-UA"/>
        </w:rPr>
        <w:t xml:space="preserve"> центрального органу виконавчої влади.</w:t>
      </w:r>
    </w:p>
    <w:p w:rsidR="00CE73DE" w:rsidRPr="00CE73DE" w:rsidRDefault="00CE73DE" w:rsidP="00CE73DE">
      <w:pPr>
        <w:pStyle w:val="af0"/>
        <w:numPr>
          <w:ilvl w:val="0"/>
          <w:numId w:val="21"/>
        </w:numPr>
        <w:tabs>
          <w:tab w:val="left" w:pos="0"/>
        </w:tabs>
        <w:spacing w:after="120" w:line="264" w:lineRule="auto"/>
        <w:ind w:left="0" w:right="85" w:firstLine="708"/>
        <w:contextualSpacing w:val="0"/>
        <w:jc w:val="both"/>
        <w:rPr>
          <w:rFonts w:ascii="Times New Roman" w:hAnsi="Times New Roman"/>
          <w:sz w:val="28"/>
          <w:szCs w:val="28"/>
        </w:rPr>
      </w:pPr>
      <w:r w:rsidRPr="00CE73DE">
        <w:rPr>
          <w:rFonts w:ascii="Times New Roman" w:hAnsi="Times New Roman"/>
          <w:sz w:val="28"/>
          <w:szCs w:val="28"/>
        </w:rPr>
        <w:t xml:space="preserve">Частинами четвертою-п’ятою статті 28 Закону України “Про </w:t>
      </w:r>
      <w:r w:rsidRPr="00CE73DE">
        <w:rPr>
          <w:rFonts w:ascii="Times New Roman" w:hAnsi="Times New Roman"/>
          <w:bCs/>
          <w:sz w:val="28"/>
          <w:szCs w:val="28"/>
        </w:rPr>
        <w:t>протимінну діяльність в Україні</w:t>
      </w:r>
      <w:r w:rsidRPr="00CE73DE">
        <w:rPr>
          <w:rFonts w:ascii="Times New Roman" w:hAnsi="Times New Roman"/>
          <w:sz w:val="28"/>
          <w:szCs w:val="28"/>
        </w:rPr>
        <w:t>” в редакції законопроекту передбачається, що порядок використання, зберігання та перевезення операторами протимінної діяльності вибухових матеріалів, надання дозволу на імпорт та використання визначеної кількості обмежених в імпорті і використанн</w:t>
      </w:r>
      <w:r w:rsidR="00473D50">
        <w:rPr>
          <w:rFonts w:ascii="Times New Roman" w:hAnsi="Times New Roman"/>
          <w:sz w:val="28"/>
          <w:szCs w:val="28"/>
        </w:rPr>
        <w:t>і</w:t>
      </w:r>
      <w:r w:rsidRPr="00CE73DE">
        <w:rPr>
          <w:rFonts w:ascii="Times New Roman" w:hAnsi="Times New Roman"/>
          <w:sz w:val="28"/>
          <w:szCs w:val="28"/>
        </w:rPr>
        <w:t xml:space="preserve"> товарів подвійного призначення операторами протимінної діяльності у цілях протимінної діяльності визначається законодавством та іншими нормативно-правовими актами України.</w:t>
      </w:r>
    </w:p>
    <w:p w:rsidR="00CE73DE" w:rsidRPr="00CE73DE" w:rsidRDefault="00CE73DE" w:rsidP="00CE73DE">
      <w:pPr>
        <w:pStyle w:val="af0"/>
        <w:tabs>
          <w:tab w:val="left" w:pos="0"/>
        </w:tabs>
        <w:spacing w:after="120" w:line="264" w:lineRule="auto"/>
        <w:ind w:left="0" w:right="85" w:firstLine="709"/>
        <w:contextualSpacing w:val="0"/>
        <w:jc w:val="both"/>
        <w:rPr>
          <w:rFonts w:ascii="Times New Roman" w:hAnsi="Times New Roman"/>
          <w:sz w:val="28"/>
          <w:szCs w:val="28"/>
        </w:rPr>
      </w:pPr>
      <w:r w:rsidRPr="00CE73DE">
        <w:rPr>
          <w:rFonts w:ascii="Times New Roman" w:hAnsi="Times New Roman"/>
          <w:color w:val="000000"/>
          <w:sz w:val="28"/>
          <w:szCs w:val="28"/>
        </w:rPr>
        <w:t>Зважаючи на правову позицію Конституційного Суду України, викладену в рішенні від 9 липня 1998 року №</w:t>
      </w:r>
      <w:r w:rsidRPr="00CE73DE">
        <w:rPr>
          <w:rStyle w:val="FontStyle"/>
          <w:rFonts w:ascii="Times New Roman" w:hAnsi="Times New Roman"/>
          <w:sz w:val="28"/>
          <w:szCs w:val="28"/>
        </w:rPr>
        <w:t xml:space="preserve">12-рп/98 у справі про тлумачення терміну </w:t>
      </w:r>
      <w:r w:rsidRPr="00CE73DE">
        <w:rPr>
          <w:rFonts w:ascii="Times New Roman" w:hAnsi="Times New Roman"/>
          <w:sz w:val="28"/>
          <w:szCs w:val="28"/>
        </w:rPr>
        <w:t>"</w:t>
      </w:r>
      <w:r w:rsidRPr="00CE73DE">
        <w:rPr>
          <w:rStyle w:val="FontStyle"/>
          <w:rFonts w:ascii="Times New Roman" w:hAnsi="Times New Roman"/>
          <w:sz w:val="28"/>
          <w:szCs w:val="28"/>
        </w:rPr>
        <w:t>Законодавство</w:t>
      </w:r>
      <w:r w:rsidRPr="00CE73DE">
        <w:rPr>
          <w:rFonts w:ascii="Times New Roman" w:hAnsi="Times New Roman"/>
          <w:sz w:val="28"/>
          <w:szCs w:val="28"/>
        </w:rPr>
        <w:t>"</w:t>
      </w:r>
      <w:r w:rsidRPr="00CE73DE">
        <w:rPr>
          <w:rStyle w:val="FontStyle"/>
          <w:rFonts w:ascii="Times New Roman" w:hAnsi="Times New Roman"/>
          <w:sz w:val="28"/>
          <w:szCs w:val="28"/>
        </w:rPr>
        <w:t>, термін "законодавство</w:t>
      </w:r>
      <w:r w:rsidR="00473D50" w:rsidRPr="00CE73DE">
        <w:rPr>
          <w:rFonts w:ascii="Times New Roman" w:hAnsi="Times New Roman"/>
          <w:sz w:val="28"/>
          <w:szCs w:val="28"/>
        </w:rPr>
        <w:t>"</w:t>
      </w:r>
      <w:r w:rsidRPr="00CE73DE">
        <w:rPr>
          <w:rStyle w:val="FontStyle"/>
          <w:rFonts w:ascii="Times New Roman" w:hAnsi="Times New Roman"/>
          <w:sz w:val="28"/>
          <w:szCs w:val="28"/>
        </w:rPr>
        <w:t xml:space="preserve"> треба розуміти так, що ним охоплюються закони України, чинні міжнародні договори України, згода на обов'язковість яких надана Верховною Радою України, а також постанови Верховної Ради України, укази Президента України, декрети і постанови Кабінету Міністрів України, прийняті в межах їх повноважень та відповідно до Конституції України і законів України</w:t>
      </w:r>
      <w:r w:rsidR="00473D50" w:rsidRPr="00CE73DE">
        <w:rPr>
          <w:rFonts w:ascii="Times New Roman" w:hAnsi="Times New Roman"/>
          <w:sz w:val="28"/>
          <w:szCs w:val="28"/>
        </w:rPr>
        <w:t>"</w:t>
      </w:r>
      <w:r w:rsidRPr="00CE73DE">
        <w:rPr>
          <w:rStyle w:val="FontStyle"/>
          <w:rFonts w:ascii="Times New Roman" w:hAnsi="Times New Roman"/>
          <w:sz w:val="28"/>
          <w:szCs w:val="28"/>
        </w:rPr>
        <w:t>, вважаємо, що у частинах</w:t>
      </w:r>
      <w:r w:rsidRPr="00CE73DE">
        <w:rPr>
          <w:rFonts w:ascii="Times New Roman" w:hAnsi="Times New Roman"/>
          <w:sz w:val="28"/>
          <w:szCs w:val="28"/>
        </w:rPr>
        <w:t xml:space="preserve"> четвертій-п’ятій статті 28 Закону України “Про </w:t>
      </w:r>
      <w:r w:rsidRPr="00CE73DE">
        <w:rPr>
          <w:rFonts w:ascii="Times New Roman" w:hAnsi="Times New Roman"/>
          <w:bCs/>
          <w:sz w:val="28"/>
          <w:szCs w:val="28"/>
        </w:rPr>
        <w:t>протимінну діяльність в Україні</w:t>
      </w:r>
      <w:r w:rsidRPr="00CE73DE">
        <w:rPr>
          <w:rFonts w:ascii="Times New Roman" w:hAnsi="Times New Roman"/>
          <w:sz w:val="28"/>
          <w:szCs w:val="28"/>
        </w:rPr>
        <w:t>” в редакції законопроекту</w:t>
      </w:r>
      <w:r w:rsidRPr="00CE73DE">
        <w:rPr>
          <w:rStyle w:val="FontStyle"/>
          <w:rFonts w:ascii="Times New Roman" w:hAnsi="Times New Roman"/>
          <w:sz w:val="28"/>
          <w:szCs w:val="28"/>
        </w:rPr>
        <w:t xml:space="preserve"> мало б йтися про нормативні акти, оскільки термін </w:t>
      </w:r>
      <w:r w:rsidRPr="00CE73DE">
        <w:rPr>
          <w:rFonts w:ascii="Times New Roman" w:hAnsi="Times New Roman"/>
          <w:sz w:val="28"/>
          <w:szCs w:val="28"/>
        </w:rPr>
        <w:t>“нормативно-правовий акт” є складовою терміну “законодавство”.</w:t>
      </w:r>
    </w:p>
    <w:p w:rsidR="00CE73DE" w:rsidRPr="00CE73DE" w:rsidRDefault="00CE73DE" w:rsidP="00CE73DE">
      <w:pPr>
        <w:pStyle w:val="af0"/>
        <w:numPr>
          <w:ilvl w:val="0"/>
          <w:numId w:val="21"/>
        </w:numPr>
        <w:tabs>
          <w:tab w:val="left" w:pos="0"/>
        </w:tabs>
        <w:spacing w:after="120" w:line="264" w:lineRule="auto"/>
        <w:ind w:left="0" w:right="85" w:firstLine="709"/>
        <w:contextualSpacing w:val="0"/>
        <w:jc w:val="both"/>
        <w:rPr>
          <w:rFonts w:ascii="Times New Roman" w:hAnsi="Times New Roman"/>
          <w:sz w:val="28"/>
          <w:szCs w:val="28"/>
        </w:rPr>
      </w:pPr>
      <w:r w:rsidRPr="00CE73DE">
        <w:rPr>
          <w:rFonts w:ascii="Times New Roman" w:hAnsi="Times New Roman"/>
          <w:sz w:val="28"/>
          <w:szCs w:val="28"/>
        </w:rPr>
        <w:t xml:space="preserve">Пунктом 30 розділу </w:t>
      </w:r>
      <w:r w:rsidRPr="00CE73DE">
        <w:rPr>
          <w:rFonts w:ascii="Times New Roman" w:hAnsi="Times New Roman"/>
          <w:sz w:val="28"/>
          <w:szCs w:val="28"/>
          <w:lang w:val="en-US"/>
        </w:rPr>
        <w:t>I</w:t>
      </w:r>
      <w:r w:rsidRPr="00CE73DE">
        <w:rPr>
          <w:rFonts w:ascii="Times New Roman" w:hAnsi="Times New Roman"/>
          <w:sz w:val="28"/>
          <w:szCs w:val="28"/>
          <w:lang w:val="ru-RU"/>
        </w:rPr>
        <w:t xml:space="preserve"> </w:t>
      </w:r>
      <w:r w:rsidRPr="00CE73DE">
        <w:rPr>
          <w:rFonts w:ascii="Times New Roman" w:hAnsi="Times New Roman"/>
          <w:sz w:val="28"/>
          <w:szCs w:val="28"/>
        </w:rPr>
        <w:t xml:space="preserve">законопроекту передбачається викласти в новій редакції розділ </w:t>
      </w:r>
      <w:r w:rsidRPr="00CE73DE">
        <w:rPr>
          <w:rFonts w:ascii="Times New Roman" w:hAnsi="Times New Roman"/>
          <w:sz w:val="28"/>
          <w:szCs w:val="28"/>
          <w:lang w:val="en-US"/>
        </w:rPr>
        <w:t>VII</w:t>
      </w:r>
      <w:r w:rsidRPr="00CE73DE">
        <w:rPr>
          <w:rFonts w:ascii="Times New Roman" w:hAnsi="Times New Roman"/>
          <w:sz w:val="28"/>
          <w:szCs w:val="28"/>
          <w:lang w:val="ru-RU"/>
        </w:rPr>
        <w:t xml:space="preserve"> </w:t>
      </w:r>
      <w:r w:rsidR="00473D50" w:rsidRPr="00CE73DE">
        <w:rPr>
          <w:rFonts w:ascii="Times New Roman" w:hAnsi="Times New Roman"/>
          <w:sz w:val="28"/>
          <w:szCs w:val="28"/>
        </w:rPr>
        <w:t>“Прикінцеві положення”</w:t>
      </w:r>
      <w:r w:rsidR="00473D50">
        <w:rPr>
          <w:rFonts w:ascii="Times New Roman" w:hAnsi="Times New Roman"/>
          <w:sz w:val="28"/>
          <w:szCs w:val="28"/>
        </w:rPr>
        <w:t xml:space="preserve"> </w:t>
      </w:r>
      <w:r w:rsidRPr="00CE73DE">
        <w:rPr>
          <w:rFonts w:ascii="Times New Roman" w:hAnsi="Times New Roman"/>
          <w:sz w:val="28"/>
          <w:szCs w:val="28"/>
        </w:rPr>
        <w:t xml:space="preserve">чинного Закону, що вже набрав чинності 25 січня 2019 року. Такий підхід не відповідає правилам </w:t>
      </w:r>
      <w:proofErr w:type="spellStart"/>
      <w:r w:rsidRPr="00CE73DE">
        <w:rPr>
          <w:rFonts w:ascii="Times New Roman" w:hAnsi="Times New Roman"/>
          <w:sz w:val="28"/>
          <w:szCs w:val="28"/>
        </w:rPr>
        <w:t>нормопроектувальної</w:t>
      </w:r>
      <w:proofErr w:type="spellEnd"/>
      <w:r w:rsidRPr="00CE73DE">
        <w:rPr>
          <w:rFonts w:ascii="Times New Roman" w:hAnsi="Times New Roman"/>
          <w:sz w:val="28"/>
          <w:szCs w:val="28"/>
        </w:rPr>
        <w:t xml:space="preserve"> техніки, адже </w:t>
      </w:r>
      <w:r w:rsidR="00473D50">
        <w:rPr>
          <w:rFonts w:ascii="Times New Roman" w:hAnsi="Times New Roman"/>
          <w:sz w:val="28"/>
          <w:szCs w:val="28"/>
        </w:rPr>
        <w:t xml:space="preserve">запропоновані </w:t>
      </w:r>
      <w:r w:rsidRPr="00CE73DE">
        <w:rPr>
          <w:rFonts w:ascii="Times New Roman" w:hAnsi="Times New Roman"/>
          <w:sz w:val="28"/>
          <w:szCs w:val="28"/>
        </w:rPr>
        <w:t>зміни мали б вноситися до чинної редакції Закону України “Про страхування</w:t>
      </w:r>
      <w:r w:rsidR="00FB0CF4" w:rsidRPr="00CE73DE">
        <w:rPr>
          <w:rFonts w:ascii="Times New Roman" w:hAnsi="Times New Roman"/>
          <w:sz w:val="28"/>
          <w:szCs w:val="28"/>
        </w:rPr>
        <w:t>“</w:t>
      </w:r>
      <w:r w:rsidRPr="00CE73DE">
        <w:rPr>
          <w:rFonts w:ascii="Times New Roman" w:hAnsi="Times New Roman"/>
          <w:sz w:val="28"/>
          <w:szCs w:val="28"/>
        </w:rPr>
        <w:t xml:space="preserve"> шляхом викладення в новій редакції пунктів 48 і 49 частини першої статті 7 зазначеного Закону.</w:t>
      </w:r>
    </w:p>
    <w:p w:rsidR="00CE73DE" w:rsidRPr="00CE73DE" w:rsidRDefault="00CE73DE" w:rsidP="00CE73DE">
      <w:pPr>
        <w:pStyle w:val="af0"/>
        <w:numPr>
          <w:ilvl w:val="0"/>
          <w:numId w:val="21"/>
        </w:numPr>
        <w:tabs>
          <w:tab w:val="left" w:pos="0"/>
        </w:tabs>
        <w:spacing w:after="120" w:line="264" w:lineRule="auto"/>
        <w:ind w:left="0" w:right="85" w:firstLine="709"/>
        <w:contextualSpacing w:val="0"/>
        <w:jc w:val="both"/>
        <w:rPr>
          <w:rFonts w:ascii="Times New Roman" w:hAnsi="Times New Roman"/>
          <w:sz w:val="28"/>
          <w:szCs w:val="28"/>
        </w:rPr>
      </w:pPr>
      <w:r w:rsidRPr="00CE73DE">
        <w:rPr>
          <w:rFonts w:ascii="Times New Roman" w:hAnsi="Times New Roman"/>
          <w:sz w:val="28"/>
          <w:szCs w:val="28"/>
        </w:rPr>
        <w:t xml:space="preserve"> </w:t>
      </w:r>
      <w:r w:rsidRPr="00CE73DE">
        <w:rPr>
          <w:rFonts w:ascii="Times New Roman" w:hAnsi="Times New Roman"/>
          <w:color w:val="000000"/>
          <w:sz w:val="28"/>
          <w:szCs w:val="28"/>
        </w:rPr>
        <w:t>Підпунктом 10 законопроекту, за яким планується ч</w:t>
      </w:r>
      <w:r w:rsidRPr="00CE73DE">
        <w:rPr>
          <w:rFonts w:ascii="Times New Roman" w:hAnsi="Times New Roman"/>
          <w:sz w:val="28"/>
          <w:szCs w:val="28"/>
        </w:rPr>
        <w:t xml:space="preserve">астину третю статті 10 Закону України “Про </w:t>
      </w:r>
      <w:r w:rsidRPr="00CE73DE">
        <w:rPr>
          <w:rFonts w:ascii="Times New Roman" w:hAnsi="Times New Roman"/>
          <w:bCs/>
          <w:sz w:val="28"/>
          <w:szCs w:val="28"/>
        </w:rPr>
        <w:t>протимінну діяльність в Україні</w:t>
      </w:r>
      <w:r w:rsidRPr="00CE73DE">
        <w:rPr>
          <w:rFonts w:ascii="Times New Roman" w:hAnsi="Times New Roman"/>
          <w:sz w:val="28"/>
          <w:szCs w:val="28"/>
        </w:rPr>
        <w:t xml:space="preserve">” викласти в </w:t>
      </w:r>
      <w:r w:rsidRPr="00CE73DE">
        <w:rPr>
          <w:rFonts w:ascii="Times New Roman" w:hAnsi="Times New Roman"/>
          <w:sz w:val="28"/>
          <w:szCs w:val="28"/>
        </w:rPr>
        <w:lastRenderedPageBreak/>
        <w:t xml:space="preserve">новій редакції, передбачається віднести до повноважень центрального органу виконавчої влади, що реалізує державну політику у сфері зайнятості населення та трудової міграції, трудових відносин, соціального захисту населення, забезпечення допомоги постраждалим особам, зокрема надання компенсацій, відшкодування вартості проїзду, виплат, що потребують видатків за рахунок коштів Державного бюджету України. Зважаючи на термін набрання чинності цим законопроектом – з дня, наступного за днем його опублікування, крім пунктів 7, 8 та 10 в редакції цього Закону, </w:t>
      </w:r>
      <w:r w:rsidR="00FB0CF4" w:rsidRPr="00CE73DE">
        <w:rPr>
          <w:rFonts w:ascii="Times New Roman" w:hAnsi="Times New Roman"/>
          <w:sz w:val="28"/>
          <w:szCs w:val="28"/>
        </w:rPr>
        <w:t xml:space="preserve">– </w:t>
      </w:r>
      <w:r w:rsidRPr="00CE73DE">
        <w:rPr>
          <w:rFonts w:ascii="Times New Roman" w:hAnsi="Times New Roman"/>
          <w:sz w:val="28"/>
          <w:szCs w:val="28"/>
        </w:rPr>
        <w:t xml:space="preserve"> вважаємо, що пункт 10 законопроекту мав набирати чинності з 1 січня 2022 року, оскільки відповідно до частини третьої статті 27 Бюджетного кодексу України </w:t>
      </w:r>
      <w:r w:rsidR="00FB0CF4" w:rsidRPr="00CE73DE">
        <w:rPr>
          <w:rFonts w:ascii="Times New Roman" w:hAnsi="Times New Roman"/>
          <w:sz w:val="28"/>
          <w:szCs w:val="28"/>
        </w:rPr>
        <w:t>“</w:t>
      </w:r>
      <w:r w:rsidRPr="00CE73DE">
        <w:rPr>
          <w:rStyle w:val="st42"/>
          <w:sz w:val="28"/>
          <w:szCs w:val="28"/>
        </w:rPr>
        <w:t>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r w:rsidR="00FB0CF4" w:rsidRPr="00CE73DE">
        <w:rPr>
          <w:rFonts w:ascii="Times New Roman" w:hAnsi="Times New Roman"/>
          <w:sz w:val="28"/>
          <w:szCs w:val="28"/>
        </w:rPr>
        <w:t>”</w:t>
      </w:r>
      <w:r w:rsidRPr="00CE73DE">
        <w:rPr>
          <w:rStyle w:val="st42"/>
          <w:sz w:val="28"/>
          <w:szCs w:val="28"/>
        </w:rPr>
        <w:t>.</w:t>
      </w:r>
    </w:p>
    <w:p w:rsidR="00CE73DE" w:rsidRDefault="00CE73DE" w:rsidP="00CE73DE">
      <w:pPr>
        <w:spacing w:after="120" w:line="264" w:lineRule="auto"/>
        <w:ind w:firstLine="709"/>
        <w:jc w:val="both"/>
        <w:rPr>
          <w:rFonts w:ascii="Times New Roman" w:hAnsi="Times New Roman"/>
          <w:sz w:val="28"/>
          <w:szCs w:val="28"/>
        </w:rPr>
      </w:pPr>
    </w:p>
    <w:p w:rsidR="00CE73DE" w:rsidRPr="00717AAA" w:rsidRDefault="00717AAA" w:rsidP="00CE73DE">
      <w:pPr>
        <w:spacing w:after="120" w:line="264" w:lineRule="auto"/>
        <w:ind w:firstLine="709"/>
        <w:jc w:val="both"/>
        <w:rPr>
          <w:rFonts w:ascii="Times New Roman" w:hAnsi="Times New Roman"/>
          <w:sz w:val="28"/>
          <w:szCs w:val="28"/>
        </w:rPr>
      </w:pPr>
      <w:r w:rsidRPr="00717AAA">
        <w:rPr>
          <w:rFonts w:ascii="Times New Roman" w:hAnsi="Times New Roman"/>
          <w:b/>
          <w:sz w:val="28"/>
          <w:szCs w:val="28"/>
        </w:rPr>
        <w:t>Узагальнюючий висновок:</w:t>
      </w:r>
      <w:r w:rsidRPr="00717AAA">
        <w:rPr>
          <w:rFonts w:ascii="Times New Roman" w:hAnsi="Times New Roman"/>
          <w:sz w:val="28"/>
          <w:szCs w:val="28"/>
        </w:rPr>
        <w:t xml:space="preserve"> законопроект</w:t>
      </w:r>
      <w:r w:rsidRPr="00717AAA">
        <w:rPr>
          <w:rFonts w:ascii="Times New Roman" w:hAnsi="Times New Roman"/>
          <w:sz w:val="28"/>
          <w:szCs w:val="28"/>
        </w:rPr>
        <w:t xml:space="preserve"> </w:t>
      </w:r>
      <w:r w:rsidRPr="00717AAA">
        <w:rPr>
          <w:rFonts w:ascii="Times New Roman" w:hAnsi="Times New Roman"/>
          <w:sz w:val="28"/>
          <w:szCs w:val="28"/>
        </w:rPr>
        <w:t>потребує доопрацювання та внесення на повторне друге читання</w:t>
      </w:r>
      <w:r w:rsidR="0046494D">
        <w:rPr>
          <w:rFonts w:ascii="Times New Roman" w:hAnsi="Times New Roman"/>
          <w:sz w:val="28"/>
          <w:szCs w:val="28"/>
        </w:rPr>
        <w:t>.</w:t>
      </w:r>
      <w:bookmarkStart w:id="0" w:name="_GoBack"/>
      <w:bookmarkEnd w:id="0"/>
    </w:p>
    <w:p w:rsidR="00CE73DE" w:rsidRDefault="00CE73DE" w:rsidP="00CE73DE">
      <w:pPr>
        <w:spacing w:after="120" w:line="264" w:lineRule="auto"/>
        <w:ind w:firstLine="709"/>
        <w:jc w:val="both"/>
        <w:rPr>
          <w:rFonts w:ascii="Times New Roman" w:hAnsi="Times New Roman"/>
          <w:sz w:val="28"/>
          <w:szCs w:val="28"/>
        </w:rPr>
      </w:pPr>
    </w:p>
    <w:tbl>
      <w:tblPr>
        <w:tblStyle w:val="a7"/>
        <w:tblW w:w="13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88"/>
        <w:gridCol w:w="4993"/>
        <w:gridCol w:w="4003"/>
      </w:tblGrid>
      <w:tr w:rsidR="00CE73DE" w:rsidTr="00CE73DE">
        <w:tc>
          <w:tcPr>
            <w:tcW w:w="4788" w:type="dxa"/>
            <w:hideMark/>
          </w:tcPr>
          <w:p w:rsidR="00CE73DE" w:rsidRPr="00CE73DE" w:rsidRDefault="00CE73DE">
            <w:pPr>
              <w:pStyle w:val="2"/>
              <w:jc w:val="center"/>
              <w:outlineLvl w:val="1"/>
              <w:rPr>
                <w:rFonts w:ascii="Times New Roman" w:hAnsi="Times New Roman" w:cs="Times New Roman"/>
                <w:b/>
                <w:color w:val="auto"/>
                <w:sz w:val="28"/>
                <w:szCs w:val="28"/>
              </w:rPr>
            </w:pPr>
            <w:r w:rsidRPr="00CE73DE">
              <w:rPr>
                <w:rFonts w:ascii="Times New Roman" w:hAnsi="Times New Roman" w:cs="Times New Roman"/>
                <w:b/>
                <w:bCs/>
                <w:color w:val="auto"/>
                <w:sz w:val="28"/>
                <w:szCs w:val="28"/>
              </w:rPr>
              <w:t>Перший заступник</w:t>
            </w:r>
          </w:p>
          <w:p w:rsidR="00CE73DE" w:rsidRPr="00CE73DE" w:rsidRDefault="00CE73DE">
            <w:pPr>
              <w:spacing w:after="0" w:line="240" w:lineRule="auto"/>
              <w:rPr>
                <w:rFonts w:ascii="Times New Roman" w:hAnsi="Times New Roman"/>
                <w:b/>
                <w:sz w:val="28"/>
                <w:szCs w:val="28"/>
                <w:lang w:eastAsia="uk-UA"/>
              </w:rPr>
            </w:pPr>
            <w:r w:rsidRPr="00CE73DE">
              <w:rPr>
                <w:rFonts w:ascii="Times New Roman" w:hAnsi="Times New Roman"/>
                <w:b/>
                <w:bCs/>
                <w:sz w:val="28"/>
                <w:szCs w:val="28"/>
                <w:lang w:eastAsia="uk-UA"/>
              </w:rPr>
              <w:t>керівника Головного управління</w:t>
            </w:r>
          </w:p>
        </w:tc>
        <w:tc>
          <w:tcPr>
            <w:tcW w:w="4993" w:type="dxa"/>
          </w:tcPr>
          <w:p w:rsidR="00CE73DE" w:rsidRPr="00CE73DE" w:rsidRDefault="00CE73DE">
            <w:pPr>
              <w:spacing w:after="0" w:line="240" w:lineRule="auto"/>
              <w:jc w:val="right"/>
              <w:rPr>
                <w:rFonts w:ascii="Times New Roman" w:hAnsi="Times New Roman"/>
                <w:b/>
                <w:sz w:val="28"/>
                <w:szCs w:val="28"/>
                <w:lang w:eastAsia="uk-UA"/>
              </w:rPr>
            </w:pPr>
          </w:p>
          <w:p w:rsidR="00CE73DE" w:rsidRPr="00CE73DE" w:rsidRDefault="00CE73DE" w:rsidP="00CE73DE">
            <w:pPr>
              <w:pStyle w:val="2"/>
              <w:jc w:val="center"/>
              <w:outlineLvl w:val="1"/>
              <w:rPr>
                <w:rFonts w:ascii="Times New Roman" w:hAnsi="Times New Roman" w:cs="Times New Roman"/>
                <w:b/>
                <w:sz w:val="28"/>
                <w:szCs w:val="28"/>
                <w:lang w:eastAsia="ru-RU"/>
              </w:rPr>
            </w:pPr>
            <w:r w:rsidRPr="00473D50">
              <w:rPr>
                <w:rFonts w:ascii="Times New Roman" w:hAnsi="Times New Roman" w:cs="Times New Roman"/>
                <w:b/>
                <w:color w:val="auto"/>
                <w:sz w:val="28"/>
                <w:szCs w:val="28"/>
                <w:lang w:val="ru-RU"/>
              </w:rPr>
              <w:t xml:space="preserve">                              </w:t>
            </w:r>
            <w:r w:rsidRPr="00CE73DE">
              <w:rPr>
                <w:rFonts w:ascii="Times New Roman" w:hAnsi="Times New Roman" w:cs="Times New Roman"/>
                <w:b/>
                <w:color w:val="auto"/>
                <w:sz w:val="28"/>
                <w:szCs w:val="28"/>
              </w:rPr>
              <w:t>А. НИЖНИК</w:t>
            </w:r>
          </w:p>
        </w:tc>
        <w:tc>
          <w:tcPr>
            <w:tcW w:w="4003" w:type="dxa"/>
          </w:tcPr>
          <w:p w:rsidR="00CE73DE" w:rsidRDefault="00CE73DE">
            <w:pPr>
              <w:spacing w:after="0" w:line="240" w:lineRule="auto"/>
              <w:jc w:val="right"/>
              <w:rPr>
                <w:b/>
                <w:bCs/>
                <w:sz w:val="28"/>
                <w:lang w:val="ru-RU" w:eastAsia="uk-UA"/>
              </w:rPr>
            </w:pPr>
          </w:p>
          <w:p w:rsidR="00CE73DE" w:rsidRDefault="00CE73DE">
            <w:pPr>
              <w:spacing w:after="0" w:line="240" w:lineRule="auto"/>
              <w:jc w:val="right"/>
              <w:rPr>
                <w:b/>
                <w:sz w:val="28"/>
                <w:szCs w:val="28"/>
                <w:lang w:eastAsia="uk-UA"/>
              </w:rPr>
            </w:pPr>
          </w:p>
        </w:tc>
      </w:tr>
    </w:tbl>
    <w:p w:rsidR="00CE73DE" w:rsidRDefault="00CE73DE" w:rsidP="00CE73DE">
      <w:pPr>
        <w:rPr>
          <w:rFonts w:ascii="Times New Roman" w:hAnsi="Times New Roman"/>
        </w:rPr>
      </w:pPr>
    </w:p>
    <w:p w:rsidR="007167DA" w:rsidRPr="00CE73DE" w:rsidRDefault="007167DA" w:rsidP="00CE73DE"/>
    <w:sectPr w:rsidR="007167DA" w:rsidRPr="00CE73DE"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657" w:rsidRDefault="00311657" w:rsidP="005E306B">
      <w:pPr>
        <w:spacing w:after="0" w:line="240" w:lineRule="auto"/>
      </w:pPr>
      <w:r>
        <w:separator/>
      </w:r>
    </w:p>
  </w:endnote>
  <w:endnote w:type="continuationSeparator" w:id="0">
    <w:p w:rsidR="00311657" w:rsidRDefault="0031165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657" w:rsidRDefault="00311657" w:rsidP="005E306B">
      <w:pPr>
        <w:spacing w:after="0" w:line="240" w:lineRule="auto"/>
      </w:pPr>
      <w:r>
        <w:separator/>
      </w:r>
    </w:p>
  </w:footnote>
  <w:footnote w:type="continuationSeparator" w:id="0">
    <w:p w:rsidR="00311657" w:rsidRDefault="0031165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46494D">
          <w:rPr>
            <w:noProof/>
          </w:rPr>
          <w:t>3</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DA875C2"/>
    <w:multiLevelType w:val="hybridMultilevel"/>
    <w:tmpl w:val="F0AED714"/>
    <w:lvl w:ilvl="0" w:tplc="CC0EE82E">
      <w:start w:val="4"/>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6"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9"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0"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1"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3"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15"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6"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2A167A8"/>
    <w:multiLevelType w:val="hybridMultilevel"/>
    <w:tmpl w:val="AE64B0BE"/>
    <w:lvl w:ilvl="0" w:tplc="0F86D37A">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9"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9"/>
  </w:num>
  <w:num w:numId="2">
    <w:abstractNumId w:va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20"/>
  </w:num>
  <w:num w:numId="7">
    <w:abstractNumId w:val="17"/>
  </w:num>
  <w:num w:numId="8">
    <w:abstractNumId w:val="0"/>
  </w:num>
  <w:num w:numId="9">
    <w:abstractNumId w:val="13"/>
  </w:num>
  <w:num w:numId="10">
    <w:abstractNumId w:val="19"/>
  </w:num>
  <w:num w:numId="11">
    <w:abstractNumId w:val="15"/>
  </w:num>
  <w:num w:numId="12">
    <w:abstractNumId w:val="16"/>
  </w:num>
  <w:num w:numId="13">
    <w:abstractNumId w:val="6"/>
  </w:num>
  <w:num w:numId="14">
    <w:abstractNumId w:val="11"/>
  </w:num>
  <w:num w:numId="15">
    <w:abstractNumId w:val="7"/>
  </w:num>
  <w:num w:numId="16">
    <w:abstractNumId w:val="14"/>
  </w:num>
  <w:num w:numId="17">
    <w:abstractNumId w:val="12"/>
  </w:num>
  <w:num w:numId="18">
    <w:abstractNumId w:val="1"/>
  </w:num>
  <w:num w:numId="19">
    <w:abstractNumId w:val="4"/>
  </w:num>
  <w:num w:numId="2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00B2C"/>
    <w:rsid w:val="000163C3"/>
    <w:rsid w:val="0003690C"/>
    <w:rsid w:val="00043243"/>
    <w:rsid w:val="00080B66"/>
    <w:rsid w:val="0009379A"/>
    <w:rsid w:val="000B6CE8"/>
    <w:rsid w:val="000D4422"/>
    <w:rsid w:val="000F1586"/>
    <w:rsid w:val="00113853"/>
    <w:rsid w:val="00140AA7"/>
    <w:rsid w:val="00141617"/>
    <w:rsid w:val="00182432"/>
    <w:rsid w:val="00184B3A"/>
    <w:rsid w:val="00184BEC"/>
    <w:rsid w:val="0019108F"/>
    <w:rsid w:val="00193E6D"/>
    <w:rsid w:val="001966F0"/>
    <w:rsid w:val="001A356B"/>
    <w:rsid w:val="001C3AD6"/>
    <w:rsid w:val="001C75FA"/>
    <w:rsid w:val="001D1645"/>
    <w:rsid w:val="001D1C39"/>
    <w:rsid w:val="001D3C24"/>
    <w:rsid w:val="001D4D50"/>
    <w:rsid w:val="00204E8D"/>
    <w:rsid w:val="00235CD7"/>
    <w:rsid w:val="002A5D4C"/>
    <w:rsid w:val="002B1B77"/>
    <w:rsid w:val="002B5FC1"/>
    <w:rsid w:val="002D0561"/>
    <w:rsid w:val="002E0A18"/>
    <w:rsid w:val="002E31BF"/>
    <w:rsid w:val="002E44DA"/>
    <w:rsid w:val="002F4311"/>
    <w:rsid w:val="00300A15"/>
    <w:rsid w:val="00311657"/>
    <w:rsid w:val="00311B04"/>
    <w:rsid w:val="0034240E"/>
    <w:rsid w:val="003562A8"/>
    <w:rsid w:val="003607EE"/>
    <w:rsid w:val="00375602"/>
    <w:rsid w:val="00375A99"/>
    <w:rsid w:val="00397FFD"/>
    <w:rsid w:val="003A5DE5"/>
    <w:rsid w:val="003C5FA9"/>
    <w:rsid w:val="003D1CBA"/>
    <w:rsid w:val="003E5F4E"/>
    <w:rsid w:val="003E6989"/>
    <w:rsid w:val="00422A73"/>
    <w:rsid w:val="00451750"/>
    <w:rsid w:val="00453E79"/>
    <w:rsid w:val="0046494D"/>
    <w:rsid w:val="004709E9"/>
    <w:rsid w:val="00473D50"/>
    <w:rsid w:val="0048791A"/>
    <w:rsid w:val="00492C8A"/>
    <w:rsid w:val="00494671"/>
    <w:rsid w:val="004948A3"/>
    <w:rsid w:val="004A7D02"/>
    <w:rsid w:val="004B48FD"/>
    <w:rsid w:val="004B67B7"/>
    <w:rsid w:val="004C49A0"/>
    <w:rsid w:val="004C6087"/>
    <w:rsid w:val="004E0C67"/>
    <w:rsid w:val="004E4F5C"/>
    <w:rsid w:val="004E5B96"/>
    <w:rsid w:val="004E652D"/>
    <w:rsid w:val="004F4461"/>
    <w:rsid w:val="004F7B8A"/>
    <w:rsid w:val="0050620F"/>
    <w:rsid w:val="00531B76"/>
    <w:rsid w:val="0055005A"/>
    <w:rsid w:val="00554FE5"/>
    <w:rsid w:val="0056352F"/>
    <w:rsid w:val="0056353D"/>
    <w:rsid w:val="005A1433"/>
    <w:rsid w:val="005A2451"/>
    <w:rsid w:val="005A4728"/>
    <w:rsid w:val="005B71F5"/>
    <w:rsid w:val="005C688A"/>
    <w:rsid w:val="005D0742"/>
    <w:rsid w:val="005E306B"/>
    <w:rsid w:val="005E4082"/>
    <w:rsid w:val="005F20B5"/>
    <w:rsid w:val="00614DAA"/>
    <w:rsid w:val="00617178"/>
    <w:rsid w:val="006240F0"/>
    <w:rsid w:val="00626A3E"/>
    <w:rsid w:val="00634A7D"/>
    <w:rsid w:val="00641B97"/>
    <w:rsid w:val="00662042"/>
    <w:rsid w:val="0066623D"/>
    <w:rsid w:val="006A6BA6"/>
    <w:rsid w:val="006C7A99"/>
    <w:rsid w:val="006F10E8"/>
    <w:rsid w:val="006F186F"/>
    <w:rsid w:val="00713E93"/>
    <w:rsid w:val="007167DA"/>
    <w:rsid w:val="00717AAA"/>
    <w:rsid w:val="0073224C"/>
    <w:rsid w:val="0073657E"/>
    <w:rsid w:val="007370CD"/>
    <w:rsid w:val="00751BF1"/>
    <w:rsid w:val="007729E4"/>
    <w:rsid w:val="007B061D"/>
    <w:rsid w:val="007B48EC"/>
    <w:rsid w:val="007D0726"/>
    <w:rsid w:val="007D6277"/>
    <w:rsid w:val="007D77AC"/>
    <w:rsid w:val="007F5D91"/>
    <w:rsid w:val="008041AC"/>
    <w:rsid w:val="0080545D"/>
    <w:rsid w:val="00811E1E"/>
    <w:rsid w:val="008208AF"/>
    <w:rsid w:val="00853F7D"/>
    <w:rsid w:val="00883F82"/>
    <w:rsid w:val="008F1912"/>
    <w:rsid w:val="008F3C39"/>
    <w:rsid w:val="009205C1"/>
    <w:rsid w:val="009413B7"/>
    <w:rsid w:val="00944594"/>
    <w:rsid w:val="00945B68"/>
    <w:rsid w:val="00957D31"/>
    <w:rsid w:val="009835C8"/>
    <w:rsid w:val="009856BA"/>
    <w:rsid w:val="009908C1"/>
    <w:rsid w:val="009A720A"/>
    <w:rsid w:val="009C0077"/>
    <w:rsid w:val="009C2341"/>
    <w:rsid w:val="009C75A2"/>
    <w:rsid w:val="00A00059"/>
    <w:rsid w:val="00A074FC"/>
    <w:rsid w:val="00A301F3"/>
    <w:rsid w:val="00A55970"/>
    <w:rsid w:val="00A833C8"/>
    <w:rsid w:val="00AD7F82"/>
    <w:rsid w:val="00AE26E7"/>
    <w:rsid w:val="00B5359A"/>
    <w:rsid w:val="00B569E4"/>
    <w:rsid w:val="00B57ED1"/>
    <w:rsid w:val="00B70394"/>
    <w:rsid w:val="00B74B84"/>
    <w:rsid w:val="00BD0801"/>
    <w:rsid w:val="00BE47D0"/>
    <w:rsid w:val="00BE70CC"/>
    <w:rsid w:val="00BF1E95"/>
    <w:rsid w:val="00C11FB6"/>
    <w:rsid w:val="00C27AE9"/>
    <w:rsid w:val="00C34B39"/>
    <w:rsid w:val="00C60F8F"/>
    <w:rsid w:val="00C656DB"/>
    <w:rsid w:val="00CC39A1"/>
    <w:rsid w:val="00CD4A38"/>
    <w:rsid w:val="00CE3E1B"/>
    <w:rsid w:val="00CE6A4B"/>
    <w:rsid w:val="00CE73DE"/>
    <w:rsid w:val="00D059F4"/>
    <w:rsid w:val="00D242C2"/>
    <w:rsid w:val="00D3575A"/>
    <w:rsid w:val="00D423C8"/>
    <w:rsid w:val="00D468B9"/>
    <w:rsid w:val="00D57E1B"/>
    <w:rsid w:val="00DD6C75"/>
    <w:rsid w:val="00E221CE"/>
    <w:rsid w:val="00E33A51"/>
    <w:rsid w:val="00E50354"/>
    <w:rsid w:val="00E539DD"/>
    <w:rsid w:val="00E6247F"/>
    <w:rsid w:val="00E821B7"/>
    <w:rsid w:val="00E91621"/>
    <w:rsid w:val="00EA12FD"/>
    <w:rsid w:val="00EC48A6"/>
    <w:rsid w:val="00EF4B90"/>
    <w:rsid w:val="00F01A33"/>
    <w:rsid w:val="00F44513"/>
    <w:rsid w:val="00F45803"/>
    <w:rsid w:val="00F55423"/>
    <w:rsid w:val="00F6174E"/>
    <w:rsid w:val="00F73A2B"/>
    <w:rsid w:val="00F84FC7"/>
    <w:rsid w:val="00F91DD3"/>
    <w:rsid w:val="00FA4893"/>
    <w:rsid w:val="00FB0CF4"/>
    <w:rsid w:val="00FC3DF4"/>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3FA97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semiHidden/>
    <w:unhideWhenUsed/>
    <w:qFormat/>
    <w:locked/>
    <w:rsid w:val="00CE73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1">
    <w:name w:val="Body Text 2"/>
    <w:basedOn w:val="a"/>
    <w:link w:val="22"/>
    <w:unhideWhenUsed/>
    <w:rsid w:val="00422A73"/>
    <w:pPr>
      <w:spacing w:after="120" w:line="480" w:lineRule="auto"/>
    </w:pPr>
  </w:style>
  <w:style w:type="character" w:customStyle="1" w:styleId="22">
    <w:name w:val="Основний текст 2 Знак"/>
    <w:basedOn w:val="a0"/>
    <w:link w:val="21"/>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semiHidden/>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 w:type="paragraph" w:customStyle="1" w:styleId="af4">
    <w:name w:val="Ігор"/>
    <w:basedOn w:val="a"/>
    <w:rsid w:val="00397FFD"/>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character" w:customStyle="1" w:styleId="20">
    <w:name w:val="Заголовок 2 Знак"/>
    <w:basedOn w:val="a0"/>
    <w:link w:val="2"/>
    <w:semiHidden/>
    <w:rsid w:val="00CE73DE"/>
    <w:rPr>
      <w:rFonts w:asciiTheme="majorHAnsi" w:eastAsiaTheme="majorEastAsia" w:hAnsiTheme="majorHAnsi" w:cstheme="majorBidi"/>
      <w:color w:val="365F91" w:themeColor="accent1" w:themeShade="BF"/>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349647859">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 w:id="20778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26364-DF57-4E4A-ACF8-88C1E02A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5169</Words>
  <Characters>2947</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6</cp:revision>
  <cp:lastPrinted>2020-09-17T09:25:00Z</cp:lastPrinted>
  <dcterms:created xsi:type="dcterms:W3CDTF">2020-09-17T09:02:00Z</dcterms:created>
  <dcterms:modified xsi:type="dcterms:W3CDTF">2020-09-17T09:26:00Z</dcterms:modified>
</cp:coreProperties>
</file>