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B65" w:rsidRDefault="00197B65" w:rsidP="00071336">
      <w:pPr>
        <w:spacing w:after="60" w:line="240" w:lineRule="auto"/>
        <w:jc w:val="center"/>
        <w:rPr>
          <w:rFonts w:ascii="Times New Roman" w:hAnsi="Times New Roman"/>
          <w:b/>
          <w:sz w:val="28"/>
          <w:szCs w:val="28"/>
          <w:lang w:val="uk-UA" w:eastAsia="ru-RU"/>
        </w:rPr>
      </w:pPr>
      <w:r>
        <w:rPr>
          <w:rFonts w:ascii="Times New Roman" w:hAnsi="Times New Roman"/>
          <w:b/>
          <w:sz w:val="28"/>
          <w:szCs w:val="28"/>
          <w:lang w:val="uk-UA" w:eastAsia="ru-RU"/>
        </w:rPr>
        <w:t>на проект Закону України про внесення змін до деяких законодавчих актів України щодо створення правових підстав для утворення агломерації як однієї з форм співробітництва територіальних громад</w:t>
      </w:r>
    </w:p>
    <w:p w:rsidR="00197B65" w:rsidRDefault="00197B65" w:rsidP="00071336">
      <w:pPr>
        <w:spacing w:after="60" w:line="240" w:lineRule="auto"/>
        <w:jc w:val="center"/>
        <w:rPr>
          <w:rFonts w:ascii="Times New Roman" w:hAnsi="Times New Roman"/>
          <w:i/>
          <w:sz w:val="28"/>
          <w:szCs w:val="28"/>
          <w:lang w:val="uk-UA" w:eastAsia="ru-RU"/>
        </w:rPr>
      </w:pPr>
      <w:r>
        <w:rPr>
          <w:rFonts w:ascii="Times New Roman" w:hAnsi="Times New Roman"/>
          <w:i/>
          <w:sz w:val="28"/>
          <w:szCs w:val="28"/>
          <w:lang w:val="uk-UA" w:eastAsia="ru-RU"/>
        </w:rPr>
        <w:t>(реєстр. № 2637 від 19.12.2019, повторний розгляд)</w:t>
      </w:r>
    </w:p>
    <w:p w:rsidR="00197B65" w:rsidRDefault="00197B65" w:rsidP="00071336">
      <w:pPr>
        <w:spacing w:after="60" w:line="240" w:lineRule="auto"/>
        <w:jc w:val="center"/>
        <w:rPr>
          <w:rFonts w:ascii="Times New Roman" w:hAnsi="Times New Roman"/>
          <w:sz w:val="16"/>
          <w:szCs w:val="16"/>
          <w:lang w:val="uk-UA" w:eastAsia="ru-RU"/>
        </w:rPr>
      </w:pPr>
      <w:r>
        <w:rPr>
          <w:rFonts w:ascii="Times New Roman" w:hAnsi="Times New Roman"/>
          <w:sz w:val="16"/>
          <w:szCs w:val="16"/>
          <w:lang w:val="uk-UA" w:eastAsia="ru-RU"/>
        </w:rPr>
        <w:t>____________________________________________________________________________________________________________________</w:t>
      </w:r>
    </w:p>
    <w:p w:rsidR="00197B65" w:rsidRDefault="00197B65" w:rsidP="00071336">
      <w:pPr>
        <w:spacing w:after="60" w:line="240" w:lineRule="auto"/>
        <w:ind w:firstLine="851"/>
        <w:rPr>
          <w:rFonts w:ascii="Times New Roman" w:hAnsi="Times New Roman"/>
          <w:sz w:val="24"/>
          <w:szCs w:val="24"/>
          <w:lang w:val="uk-UA" w:eastAsia="ru-RU"/>
        </w:rPr>
      </w:pPr>
    </w:p>
    <w:p w:rsidR="00197B65" w:rsidRDefault="00197B65" w:rsidP="00071336">
      <w:pPr>
        <w:spacing w:after="60" w:line="240" w:lineRule="auto"/>
        <w:ind w:firstLine="709"/>
        <w:jc w:val="both"/>
        <w:rPr>
          <w:rFonts w:ascii="Times New Roman" w:hAnsi="Times New Roman"/>
          <w:b/>
          <w:bCs/>
          <w:color w:val="000000" w:themeColor="text1"/>
          <w:sz w:val="28"/>
          <w:szCs w:val="28"/>
          <w:lang w:val="uk-UA" w:eastAsia="ru-RU"/>
        </w:rPr>
      </w:pPr>
      <w:r>
        <w:rPr>
          <w:rFonts w:ascii="Times New Roman" w:hAnsi="Times New Roman"/>
          <w:bCs/>
          <w:sz w:val="28"/>
          <w:szCs w:val="28"/>
          <w:lang w:val="uk-UA" w:eastAsia="ru-RU"/>
        </w:rPr>
        <w:t xml:space="preserve">Комітет з питань організації державної влади, місцевого самоврядування, регіонального розвитку та містобудування повторно розглянув </w:t>
      </w:r>
      <w:r>
        <w:rPr>
          <w:rFonts w:ascii="Times New Roman" w:hAnsi="Times New Roman"/>
          <w:sz w:val="28"/>
          <w:szCs w:val="28"/>
          <w:lang w:val="uk-UA" w:eastAsia="ru-RU"/>
        </w:rPr>
        <w:t>на своєму засіданні 3 березня 2021 року проект</w:t>
      </w:r>
      <w:r>
        <w:rPr>
          <w:rFonts w:ascii="Times New Roman" w:hAnsi="Times New Roman"/>
          <w:bCs/>
          <w:sz w:val="28"/>
          <w:szCs w:val="28"/>
          <w:lang w:val="uk-UA" w:eastAsia="ru-RU"/>
        </w:rPr>
        <w:t xml:space="preserve"> Закону України про внесення змін до деяких законодавчих актів України щодо створення правових підстав для утворення агломерації як однієї з форм співробітництва територіальних громад (реєстр. № 2637 від 19.12.2019)</w:t>
      </w:r>
      <w:r>
        <w:rPr>
          <w:rFonts w:ascii="Times New Roman" w:hAnsi="Times New Roman"/>
          <w:sz w:val="28"/>
          <w:szCs w:val="28"/>
          <w:lang w:val="uk-UA" w:eastAsia="ru-RU"/>
        </w:rPr>
        <w:t xml:space="preserve">, </w:t>
      </w:r>
      <w:r>
        <w:rPr>
          <w:rFonts w:ascii="Times New Roman" w:hAnsi="Times New Roman"/>
          <w:bCs/>
          <w:sz w:val="28"/>
          <w:szCs w:val="28"/>
          <w:lang w:val="uk-UA" w:eastAsia="ru-RU"/>
        </w:rPr>
        <w:t>внесений народними депутатами України В.Безгіним, А.Клочком, О.Шуляк та іншими народними депутатами України.</w:t>
      </w: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За визначенням суб’єктів права законодавчої ініціативи зазначений законопроект внесений з метою вирішення проблеми збалансування інтересів територіальних громад великих міст та прилеглих сіл, селищ, міст.</w:t>
      </w: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Законопроектом пропонується внести зміни до законів України «Про співробітництво територіальних громад», «Про місцеве самоврядування в Україні» та запровадити нові форми співробітництва територіальних громад, такі як утворення агломерації та встановлення зони добросусідства для забезпечення раціонального використання та розвитку прилеглих суміжних територій суб’єктів співробітництва.</w:t>
      </w: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 xml:space="preserve">Законопроектом передбачається, що агломерація – форма співробітництва територіальної громади, що виконує функції центру агломерації та територіальних громад, які розташовані в зоні впливу центру агломерації та мають з ним інтенсивні господарські, трудові, культурно-побутові зв’язки, що спричиняють значну щоденну маятникову міграцію населення. Агломерація утворюється відповідно до рішень ради територіальної громади центру агломерації та рад суміжних до центру агломерації територіальних громад, що входять до зони впливу відповідної агломерації. Для координації діяльності територіальних громад – учасників агломерації утворюється рада агломерації, </w:t>
      </w:r>
      <w:r>
        <w:rPr>
          <w:rFonts w:ascii="Times New Roman" w:hAnsi="Times New Roman"/>
          <w:color w:val="000000" w:themeColor="text1"/>
          <w:sz w:val="28"/>
          <w:szCs w:val="28"/>
          <w:lang w:val="uk-UA" w:eastAsia="ru-RU"/>
        </w:rPr>
        <w:lastRenderedPageBreak/>
        <w:t>яка складається з представників територіальних громад – членів, що входять до агломерації (міські, сільські, селищні голови, місцеві депутати, делеговані відповідними міськими, сільськими, селищними радами). Головою ради агломерації є голова ради територіальної громади, яка є центром агломерації. Виконавчим органом ради агломерації є виконавчий орган ради територіальної громади, яка є центром агломерації.</w:t>
      </w: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Законопроектом пропонується визначити, що до сфери компетенції агломерації належить вирішення питань щодо водозабору, водопостачання, водовідведення, поводження з відходами, визначення та утримання місць поховання, будівництва, ремонту та утримання автомобільних доріг місцевого значення, організації місцевого громадського транспорту.</w:t>
      </w: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Також передбачається законодавче врегулювання питання встановлення зони добросусідства та механізмів взаємного погодження діяльності відповідних органів місцевого самоврядування у таких зонах, зокрема шляхом визначення взаємних зобов’язань територіальних громад щодо особливостей використання територій в межах такої зони, порядку врахування інтересів суміжних громад, щодо рішень, які стосуються надання дозволів на розміщення об’єктів в межах такої зони, способів розв’язання спорів між суб’єктами співробітництва та порядку припинення співробітництва.</w:t>
      </w:r>
    </w:p>
    <w:p w:rsidR="00197B65" w:rsidRDefault="00197B65" w:rsidP="00071336">
      <w:pPr>
        <w:tabs>
          <w:tab w:val="left" w:pos="8232"/>
        </w:tabs>
        <w:spacing w:after="60" w:line="240" w:lineRule="auto"/>
        <w:ind w:firstLine="567"/>
        <w:jc w:val="both"/>
        <w:rPr>
          <w:rFonts w:ascii="Times New Roman" w:hAnsi="Times New Roman"/>
          <w:bCs/>
          <w:sz w:val="28"/>
          <w:szCs w:val="28"/>
          <w:lang w:val="uk-UA"/>
        </w:rPr>
      </w:pPr>
      <w:r>
        <w:rPr>
          <w:rFonts w:ascii="Times New Roman" w:eastAsia="MS Mincho" w:hAnsi="Times New Roman"/>
          <w:sz w:val="28"/>
          <w:szCs w:val="28"/>
          <w:lang w:val="uk-UA" w:eastAsia="ja-JP"/>
        </w:rPr>
        <w:t>Комітет з питань бюджету у своєму висновку відзначає</w:t>
      </w:r>
      <w:r>
        <w:rPr>
          <w:rFonts w:ascii="Times New Roman" w:hAnsi="Times New Roman"/>
          <w:sz w:val="28"/>
          <w:szCs w:val="28"/>
          <w:lang w:val="uk-UA"/>
        </w:rPr>
        <w:t>, що законопроект має вплив на показники державного та місцевих бюджетів (призведе до збільшення видатків</w:t>
      </w:r>
      <w:r>
        <w:rPr>
          <w:rFonts w:ascii="Times New Roman" w:hAnsi="Times New Roman"/>
          <w:spacing w:val="-2"/>
          <w:sz w:val="28"/>
          <w:szCs w:val="28"/>
          <w:lang w:val="uk-UA"/>
        </w:rPr>
        <w:t xml:space="preserve">) та </w:t>
      </w:r>
      <w:r>
        <w:rPr>
          <w:rFonts w:ascii="Times New Roman" w:eastAsia="MS Mincho" w:hAnsi="Times New Roman"/>
          <w:sz w:val="28"/>
          <w:szCs w:val="28"/>
          <w:lang w:val="uk-UA" w:eastAsia="ja-JP"/>
        </w:rPr>
        <w:t xml:space="preserve">вважає, що </w:t>
      </w:r>
      <w:r>
        <w:rPr>
          <w:rFonts w:ascii="Times New Roman" w:hAnsi="Times New Roman"/>
          <w:bCs/>
          <w:iCs/>
          <w:sz w:val="28"/>
          <w:szCs w:val="28"/>
          <w:lang w:val="uk-UA"/>
        </w:rPr>
        <w:t xml:space="preserve">положення законопроекту в частині фінансового забезпечення діяльності агломерації та державного стимулювання такого утворення потребують приведення у відповідність до норм </w:t>
      </w:r>
      <w:r>
        <w:rPr>
          <w:rStyle w:val="rvts9"/>
          <w:rFonts w:ascii="Times New Roman" w:hAnsi="Times New Roman"/>
          <w:bCs/>
          <w:color w:val="000000"/>
          <w:sz w:val="28"/>
          <w:szCs w:val="28"/>
          <w:bdr w:val="none" w:sz="0" w:space="0" w:color="auto" w:frame="1"/>
          <w:lang w:val="uk-UA"/>
        </w:rPr>
        <w:t>Бюджетного кодексу України</w:t>
      </w:r>
      <w:r>
        <w:rPr>
          <w:rFonts w:ascii="Times New Roman" w:hAnsi="Times New Roman"/>
          <w:sz w:val="28"/>
          <w:szCs w:val="28"/>
          <w:lang w:val="uk-UA"/>
        </w:rPr>
        <w:t>.</w:t>
      </w:r>
    </w:p>
    <w:p w:rsidR="00197B65" w:rsidRDefault="00197B65" w:rsidP="00071336">
      <w:pPr>
        <w:spacing w:after="60" w:line="240" w:lineRule="auto"/>
        <w:ind w:firstLine="709"/>
        <w:jc w:val="both"/>
        <w:rPr>
          <w:rFonts w:ascii="Times New Roman" w:hAnsi="Times New Roman"/>
          <w:bCs/>
          <w:color w:val="000000"/>
          <w:sz w:val="28"/>
          <w:szCs w:val="28"/>
          <w:lang w:val="uk-UA" w:eastAsia="uk-UA"/>
        </w:rPr>
      </w:pPr>
      <w:r>
        <w:rPr>
          <w:rFonts w:ascii="Times New Roman" w:hAnsi="Times New Roman"/>
          <w:color w:val="000000"/>
          <w:sz w:val="28"/>
          <w:szCs w:val="28"/>
          <w:lang w:val="uk-UA" w:eastAsia="uk-UA"/>
        </w:rPr>
        <w:t>Комітет з питань антикорупційної політики дійшов до висновку та прийняв рішення, що законопроект</w:t>
      </w:r>
      <w:r>
        <w:rPr>
          <w:rFonts w:ascii="Times New Roman" w:hAnsi="Times New Roman"/>
          <w:color w:val="000000"/>
          <w:sz w:val="28"/>
          <w:szCs w:val="28"/>
          <w:lang w:eastAsia="uk-UA"/>
        </w:rPr>
        <w:t> </w:t>
      </w:r>
      <w:r>
        <w:rPr>
          <w:rFonts w:ascii="Times New Roman" w:hAnsi="Times New Roman"/>
          <w:bCs/>
          <w:color w:val="000000"/>
          <w:sz w:val="28"/>
          <w:szCs w:val="28"/>
          <w:lang w:val="uk-UA" w:eastAsia="uk-UA"/>
        </w:rPr>
        <w:t>відповідає вимогам антикорупційного законодавства.</w:t>
      </w:r>
    </w:p>
    <w:p w:rsidR="00197B65" w:rsidRDefault="00197B65" w:rsidP="00071336">
      <w:pPr>
        <w:spacing w:after="6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Комітет з питань інтеграції України з Європейським Союзом визнав  положення законопроекту такими, що регулюються національним законодавством країн-членів Європейського Союзу та не підпадають під дію міжнародно</w:t>
      </w:r>
      <w:r>
        <w:rPr>
          <w:rFonts w:ascii="Times New Roman" w:hAnsi="Times New Roman"/>
          <w:sz w:val="28"/>
          <w:szCs w:val="24"/>
          <w:lang w:val="uk-UA" w:eastAsia="ru-RU"/>
        </w:rPr>
        <w:t>-правових зобов’язань України у сфері європейської інтеграції</w:t>
      </w:r>
      <w:r>
        <w:rPr>
          <w:rFonts w:ascii="Times New Roman" w:hAnsi="Times New Roman"/>
          <w:sz w:val="28"/>
          <w:szCs w:val="28"/>
          <w:lang w:val="uk-UA" w:eastAsia="ru-RU"/>
        </w:rPr>
        <w:t>.</w:t>
      </w:r>
    </w:p>
    <w:p w:rsidR="00197B65" w:rsidRDefault="00197B65" w:rsidP="00071336">
      <w:pPr>
        <w:spacing w:after="6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Головне науково-експертне управління Апарату Верховної Ради України у своєму висновку відзначає, що поданий законопроект є концептуально вразливим, містить низку суперечливих приписів, що унеможливлює створення належних правових підстав для співробітництва територіальних громад у формі агломерації та вважає, що за результатами розгляду у першому читанні законопроект доцільно відхилити.</w:t>
      </w:r>
    </w:p>
    <w:p w:rsidR="00197B65" w:rsidRDefault="00197B65" w:rsidP="00071336">
      <w:pPr>
        <w:spacing w:after="6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 xml:space="preserve">За зверненням Комітету Центром експертизи доброго врядування Департаменту доброго врядування Генерального директорату з питань демократії – II Ради Європи за сприяння професора Страсбурзького університету, експерта Ради Європи Робера Херцога здійснено правову експертизу законопроекту. У висновку Ради Європи зазначається, що відповідно до положень законопроекту агломерація (а точніше її рада) буде органом та </w:t>
      </w:r>
      <w:r>
        <w:rPr>
          <w:rFonts w:ascii="Times New Roman" w:hAnsi="Times New Roman"/>
          <w:sz w:val="28"/>
          <w:szCs w:val="28"/>
          <w:lang w:val="uk-UA" w:eastAsia="ru-RU"/>
        </w:rPr>
        <w:lastRenderedPageBreak/>
        <w:t>окремою від членів такої агломерації юридичною особою, що стане важливою частиною системи місцевого самоврядування в Україні. Тому агломерація повинна мати міцну правову, інституційну та фінансову основу відповідно до принципів місцевого самоврядування та стандартів Європейської хартії місцевого самоврядування. У своєму висновку Рада Європи відзначає, що законопроект потребує доопрацювання в частині чіткого визначення автономного характеру агломерації, процедури утворення агломерації, обрання її органів, фінансової автономії, переліку повноважень тощо.</w:t>
      </w: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Всеукраїнська асоціація органів місцевого самоврядування «Асоціація об’єднаних територіальних громад» не підтримує законопроект в запропонованій редакції, оскільки вважає, що положення законопроекту спрямовані на поширення сфери впливу великих міст на суміжні території, розширення меж їх власних повноважень за рахунок ресурсів сусідніх територіальних громад.</w:t>
      </w:r>
    </w:p>
    <w:p w:rsidR="00197B65" w:rsidRDefault="00197B65" w:rsidP="00071336">
      <w:pPr>
        <w:spacing w:after="60" w:line="240" w:lineRule="auto"/>
        <w:ind w:firstLine="709"/>
        <w:jc w:val="both"/>
        <w:rPr>
          <w:rFonts w:ascii="Times New Roman" w:hAnsi="Times New Roman"/>
          <w:sz w:val="28"/>
          <w:szCs w:val="28"/>
          <w:lang w:val="uk-UA" w:eastAsia="ru-RU"/>
        </w:rPr>
      </w:pPr>
      <w:r>
        <w:rPr>
          <w:rFonts w:ascii="Times New Roman" w:hAnsi="Times New Roman"/>
          <w:color w:val="000000" w:themeColor="text1"/>
          <w:sz w:val="28"/>
          <w:szCs w:val="28"/>
          <w:lang w:val="uk-UA" w:eastAsia="ru-RU"/>
        </w:rPr>
        <w:t>Всеукраїнська асоціація органів місцевого самоврядування «</w:t>
      </w:r>
      <w:r>
        <w:rPr>
          <w:rFonts w:ascii="Times New Roman" w:hAnsi="Times New Roman"/>
          <w:sz w:val="28"/>
          <w:szCs w:val="28"/>
          <w:lang w:val="uk-UA" w:eastAsia="ru-RU"/>
        </w:rPr>
        <w:t>Асоціація міст України» в цілому підтримує ідею можливого виокремлення агломерації із загального механізму співробітництва територіальних громад. Разом з тим, Асоціація у своєму висновку наводить ряд недоліків законопроекту та вважає, що проект в такій редакції не може бути позитивно оцінений і потребує доопрацювання.</w:t>
      </w:r>
    </w:p>
    <w:p w:rsidR="00197B65" w:rsidRDefault="00197B65" w:rsidP="00071336">
      <w:pPr>
        <w:spacing w:after="6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 xml:space="preserve">Заслухавши інформацію підкомітету з питань адміністративно-територіального устрою, </w:t>
      </w:r>
      <w:r w:rsidR="00EF4F20">
        <w:rPr>
          <w:rFonts w:ascii="Times New Roman" w:hAnsi="Times New Roman"/>
          <w:sz w:val="28"/>
          <w:szCs w:val="28"/>
          <w:lang w:val="uk-UA" w:eastAsia="ru-RU"/>
        </w:rPr>
        <w:t>враховую</w:t>
      </w:r>
      <w:r w:rsidR="007A73CF">
        <w:rPr>
          <w:rFonts w:ascii="Times New Roman" w:hAnsi="Times New Roman"/>
          <w:sz w:val="28"/>
          <w:szCs w:val="28"/>
          <w:lang w:val="uk-UA" w:eastAsia="ru-RU"/>
        </w:rPr>
        <w:t xml:space="preserve">чи </w:t>
      </w:r>
      <w:r w:rsidR="00EF4F20">
        <w:rPr>
          <w:rFonts w:ascii="Times New Roman" w:hAnsi="Times New Roman"/>
          <w:sz w:val="28"/>
          <w:szCs w:val="28"/>
          <w:lang w:val="uk-UA" w:eastAsia="ru-RU"/>
        </w:rPr>
        <w:t xml:space="preserve">результати обговорення </w:t>
      </w:r>
      <w:r w:rsidR="007A73CF">
        <w:rPr>
          <w:rFonts w:ascii="Times New Roman" w:hAnsi="Times New Roman"/>
          <w:sz w:val="28"/>
          <w:szCs w:val="28"/>
          <w:lang w:val="uk-UA" w:eastAsia="ru-RU"/>
        </w:rPr>
        <w:t>на</w:t>
      </w:r>
      <w:r w:rsidR="00362094">
        <w:rPr>
          <w:rFonts w:ascii="Times New Roman" w:hAnsi="Times New Roman"/>
          <w:sz w:val="28"/>
          <w:szCs w:val="28"/>
          <w:lang w:val="uk-UA" w:eastAsia="ru-RU"/>
        </w:rPr>
        <w:t xml:space="preserve"> засіданні</w:t>
      </w:r>
      <w:r w:rsidR="007A73CF">
        <w:rPr>
          <w:rFonts w:ascii="Times New Roman" w:hAnsi="Times New Roman"/>
          <w:sz w:val="28"/>
          <w:szCs w:val="28"/>
          <w:lang w:val="uk-UA" w:eastAsia="ru-RU"/>
        </w:rPr>
        <w:t xml:space="preserve"> кругло</w:t>
      </w:r>
      <w:r w:rsidR="00362094">
        <w:rPr>
          <w:rFonts w:ascii="Times New Roman" w:hAnsi="Times New Roman"/>
          <w:sz w:val="28"/>
          <w:szCs w:val="28"/>
          <w:lang w:val="uk-UA" w:eastAsia="ru-RU"/>
        </w:rPr>
        <w:t>го</w:t>
      </w:r>
      <w:r w:rsidR="007A73CF">
        <w:rPr>
          <w:rFonts w:ascii="Times New Roman" w:hAnsi="Times New Roman"/>
          <w:sz w:val="28"/>
          <w:szCs w:val="28"/>
          <w:lang w:val="uk-UA" w:eastAsia="ru-RU"/>
        </w:rPr>
        <w:t xml:space="preserve"> стол</w:t>
      </w:r>
      <w:r w:rsidR="00362094">
        <w:rPr>
          <w:rFonts w:ascii="Times New Roman" w:hAnsi="Times New Roman"/>
          <w:sz w:val="28"/>
          <w:szCs w:val="28"/>
          <w:lang w:val="uk-UA" w:eastAsia="ru-RU"/>
        </w:rPr>
        <w:t>у</w:t>
      </w:r>
      <w:r w:rsidR="007A73CF">
        <w:rPr>
          <w:rFonts w:ascii="Times New Roman" w:hAnsi="Times New Roman"/>
          <w:sz w:val="28"/>
          <w:szCs w:val="28"/>
          <w:lang w:val="uk-UA" w:eastAsia="ru-RU"/>
        </w:rPr>
        <w:t xml:space="preserve"> «</w:t>
      </w:r>
      <w:r w:rsidR="007A73CF" w:rsidRPr="007A73CF">
        <w:rPr>
          <w:rFonts w:ascii="Times New Roman" w:hAnsi="Times New Roman"/>
          <w:sz w:val="28"/>
          <w:szCs w:val="28"/>
          <w:lang w:val="uk-UA" w:eastAsia="ru-RU"/>
        </w:rPr>
        <w:t>Утворення Київської агломерації як перспектива розвитку столичного регіону</w:t>
      </w:r>
      <w:r w:rsidR="007A73CF">
        <w:rPr>
          <w:rFonts w:ascii="Times New Roman" w:hAnsi="Times New Roman"/>
          <w:sz w:val="28"/>
          <w:szCs w:val="28"/>
          <w:lang w:val="uk-UA" w:eastAsia="ru-RU"/>
        </w:rPr>
        <w:t>», як</w:t>
      </w:r>
      <w:r w:rsidR="00362094">
        <w:rPr>
          <w:rFonts w:ascii="Times New Roman" w:hAnsi="Times New Roman"/>
          <w:sz w:val="28"/>
          <w:szCs w:val="28"/>
          <w:lang w:val="uk-UA" w:eastAsia="ru-RU"/>
        </w:rPr>
        <w:t>ий</w:t>
      </w:r>
      <w:r w:rsidR="007A73CF">
        <w:rPr>
          <w:rFonts w:ascii="Times New Roman" w:hAnsi="Times New Roman"/>
          <w:sz w:val="28"/>
          <w:szCs w:val="28"/>
          <w:lang w:val="uk-UA" w:eastAsia="ru-RU"/>
        </w:rPr>
        <w:t xml:space="preserve"> відбу</w:t>
      </w:r>
      <w:r w:rsidR="00362094">
        <w:rPr>
          <w:rFonts w:ascii="Times New Roman" w:hAnsi="Times New Roman"/>
          <w:sz w:val="28"/>
          <w:szCs w:val="28"/>
          <w:lang w:val="uk-UA" w:eastAsia="ru-RU"/>
        </w:rPr>
        <w:t>в</w:t>
      </w:r>
      <w:r w:rsidR="007A73CF">
        <w:rPr>
          <w:rFonts w:ascii="Times New Roman" w:hAnsi="Times New Roman"/>
          <w:sz w:val="28"/>
          <w:szCs w:val="28"/>
          <w:lang w:val="uk-UA" w:eastAsia="ru-RU"/>
        </w:rPr>
        <w:t xml:space="preserve">ся 26 лютого 2021 року, </w:t>
      </w:r>
      <w:r>
        <w:rPr>
          <w:rFonts w:ascii="Times New Roman" w:hAnsi="Times New Roman"/>
          <w:sz w:val="28"/>
          <w:szCs w:val="28"/>
          <w:lang w:val="uk-UA" w:eastAsia="ru-RU"/>
        </w:rPr>
        <w:t xml:space="preserve">взявши до уваги висновки Головного науково-експертного управління Апарату Верховної Ради України, Ради Європи, </w:t>
      </w:r>
      <w:r>
        <w:rPr>
          <w:rFonts w:ascii="Times New Roman" w:hAnsi="Times New Roman"/>
          <w:color w:val="000000" w:themeColor="text1"/>
          <w:sz w:val="28"/>
          <w:szCs w:val="28"/>
          <w:lang w:val="uk-UA" w:eastAsia="ru-RU"/>
        </w:rPr>
        <w:t>Всеукраїнських асоціацій органів місцевого самоврядув</w:t>
      </w:r>
      <w:bookmarkStart w:id="0" w:name="_GoBack"/>
      <w:bookmarkEnd w:id="0"/>
      <w:r>
        <w:rPr>
          <w:rFonts w:ascii="Times New Roman" w:hAnsi="Times New Roman"/>
          <w:color w:val="000000" w:themeColor="text1"/>
          <w:sz w:val="28"/>
          <w:szCs w:val="28"/>
          <w:lang w:val="uk-UA" w:eastAsia="ru-RU"/>
        </w:rPr>
        <w:t>ання «Асоціації об’єднаних територіальних громад» та «</w:t>
      </w:r>
      <w:r>
        <w:rPr>
          <w:rFonts w:ascii="Times New Roman" w:hAnsi="Times New Roman"/>
          <w:sz w:val="28"/>
          <w:szCs w:val="28"/>
          <w:lang w:val="uk-UA" w:eastAsia="ru-RU"/>
        </w:rPr>
        <w:t xml:space="preserve">Асоціації міст України», з’ясувавши позицію народних депутатів України – членів Комітету, запрошених на засідання осіб та обговоривши питання, </w:t>
      </w:r>
      <w:r>
        <w:rPr>
          <w:rFonts w:ascii="Times New Roman" w:hAnsi="Times New Roman"/>
          <w:bCs/>
          <w:sz w:val="28"/>
          <w:szCs w:val="28"/>
          <w:lang w:val="uk-UA" w:eastAsia="ru-RU"/>
        </w:rPr>
        <w:t>Комітет</w:t>
      </w:r>
      <w:r>
        <w:rPr>
          <w:rFonts w:ascii="Times New Roman" w:hAnsi="Times New Roman"/>
          <w:b/>
          <w:bCs/>
          <w:sz w:val="28"/>
          <w:szCs w:val="28"/>
          <w:lang w:val="uk-UA" w:eastAsia="ru-RU"/>
        </w:rPr>
        <w:t xml:space="preserve"> </w:t>
      </w:r>
      <w:r w:rsidR="00071336">
        <w:rPr>
          <w:rFonts w:ascii="Times New Roman" w:hAnsi="Times New Roman"/>
          <w:sz w:val="28"/>
          <w:szCs w:val="28"/>
          <w:lang w:val="uk-UA" w:eastAsia="ru-RU"/>
        </w:rPr>
        <w:t>ухвалив</w:t>
      </w:r>
      <w:r w:rsidR="00362094">
        <w:rPr>
          <w:rFonts w:ascii="Times New Roman" w:hAnsi="Times New Roman"/>
          <w:sz w:val="28"/>
          <w:szCs w:val="28"/>
          <w:lang w:val="uk-UA" w:eastAsia="ru-RU"/>
        </w:rPr>
        <w:t xml:space="preserve"> </w:t>
      </w:r>
      <w:r w:rsidR="00071336">
        <w:rPr>
          <w:rFonts w:ascii="Times New Roman" w:hAnsi="Times New Roman"/>
          <w:sz w:val="28"/>
          <w:szCs w:val="28"/>
          <w:lang w:val="uk-UA" w:eastAsia="ru-RU"/>
        </w:rPr>
        <w:t>висновок</w:t>
      </w:r>
      <w:r w:rsidR="00362094">
        <w:rPr>
          <w:rFonts w:ascii="Times New Roman" w:hAnsi="Times New Roman"/>
          <w:sz w:val="28"/>
          <w:szCs w:val="28"/>
          <w:lang w:val="uk-UA" w:eastAsia="ru-RU"/>
        </w:rPr>
        <w:t xml:space="preserve"> </w:t>
      </w:r>
      <w:r>
        <w:rPr>
          <w:rFonts w:ascii="Times New Roman" w:hAnsi="Times New Roman"/>
          <w:sz w:val="28"/>
          <w:szCs w:val="28"/>
          <w:lang w:val="uk-UA" w:eastAsia="ru-RU"/>
        </w:rPr>
        <w:t>рекомендувати Верховній Раді України відповідно до пункту 3 частини першої статті 114 Регламенту Верховної Ради України за наслідками розгляду</w:t>
      </w:r>
      <w:r w:rsidR="00071336">
        <w:rPr>
          <w:rFonts w:ascii="Times New Roman" w:hAnsi="Times New Roman"/>
          <w:sz w:val="28"/>
          <w:szCs w:val="28"/>
          <w:lang w:val="uk-UA" w:eastAsia="ru-RU"/>
        </w:rPr>
        <w:t xml:space="preserve"> вказаного законопроекту</w:t>
      </w:r>
      <w:r>
        <w:rPr>
          <w:rFonts w:ascii="Times New Roman" w:hAnsi="Times New Roman"/>
          <w:sz w:val="28"/>
          <w:szCs w:val="28"/>
          <w:lang w:val="uk-UA" w:eastAsia="ru-RU"/>
        </w:rPr>
        <w:t xml:space="preserve"> в першому читанні повернути </w:t>
      </w:r>
      <w:r w:rsidR="00071336">
        <w:rPr>
          <w:rFonts w:ascii="Times New Roman" w:hAnsi="Times New Roman"/>
          <w:sz w:val="28"/>
          <w:szCs w:val="28"/>
          <w:lang w:val="uk-UA" w:eastAsia="ru-RU"/>
        </w:rPr>
        <w:t xml:space="preserve">його </w:t>
      </w:r>
      <w:r>
        <w:rPr>
          <w:rFonts w:ascii="Times New Roman" w:hAnsi="Times New Roman"/>
          <w:sz w:val="28"/>
          <w:szCs w:val="28"/>
          <w:lang w:val="uk-UA" w:eastAsia="ru-RU"/>
        </w:rPr>
        <w:t>суб'єкту права законодавчої ініціативи на доопрацювання.</w:t>
      </w:r>
    </w:p>
    <w:p w:rsidR="00197B65" w:rsidRDefault="00EF4F20" w:rsidP="00071336">
      <w:pPr>
        <w:spacing w:after="60" w:line="240" w:lineRule="auto"/>
        <w:ind w:firstLine="709"/>
        <w:jc w:val="both"/>
        <w:rPr>
          <w:rFonts w:ascii="Times New Roman" w:hAnsi="Times New Roman"/>
          <w:color w:val="000000" w:themeColor="text1"/>
          <w:sz w:val="28"/>
          <w:szCs w:val="28"/>
          <w:lang w:val="uk-UA" w:eastAsia="ru-RU"/>
        </w:rPr>
      </w:pPr>
      <w:r w:rsidRPr="00EF4F20">
        <w:rPr>
          <w:rFonts w:ascii="Times New Roman" w:hAnsi="Times New Roman"/>
          <w:sz w:val="28"/>
          <w:szCs w:val="28"/>
          <w:lang w:val="uk-UA" w:eastAsia="ru-RU"/>
        </w:rPr>
        <w:t>Виступити на пленарному засіданні Верховної Ради України під час розгляду даного питання доручено народному депутату України, голові підкомітету з питань адміністративно-територіального устрою В.Безгіну.</w:t>
      </w: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p>
    <w:p w:rsidR="00197B65" w:rsidRDefault="00197B65" w:rsidP="00071336">
      <w:pPr>
        <w:spacing w:after="60" w:line="240" w:lineRule="auto"/>
        <w:ind w:firstLine="709"/>
        <w:jc w:val="both"/>
        <w:rPr>
          <w:rFonts w:ascii="Times New Roman" w:hAnsi="Times New Roman"/>
          <w:color w:val="000000" w:themeColor="text1"/>
          <w:sz w:val="28"/>
          <w:szCs w:val="28"/>
          <w:lang w:val="uk-UA" w:eastAsia="ru-RU"/>
        </w:rPr>
      </w:pPr>
    </w:p>
    <w:p w:rsidR="00BF5D7F" w:rsidRPr="006C52F8" w:rsidRDefault="00197B65" w:rsidP="00071336">
      <w:pPr>
        <w:spacing w:after="60" w:line="240" w:lineRule="auto"/>
        <w:ind w:firstLine="709"/>
        <w:rPr>
          <w:rFonts w:ascii="Times New Roman" w:eastAsia="Times New Roman" w:hAnsi="Times New Roman"/>
          <w:b/>
          <w:sz w:val="28"/>
          <w:szCs w:val="28"/>
          <w:lang w:val="uk-UA" w:eastAsia="ru-RU"/>
        </w:rPr>
      </w:pPr>
      <w:r>
        <w:rPr>
          <w:rFonts w:ascii="Times New Roman" w:hAnsi="Times New Roman"/>
          <w:b/>
          <w:color w:val="000000" w:themeColor="text1"/>
          <w:sz w:val="28"/>
          <w:szCs w:val="28"/>
          <w:lang w:val="uk-UA" w:eastAsia="ru-RU"/>
        </w:rPr>
        <w:t xml:space="preserve">Голова Комітету </w:t>
      </w:r>
      <w:r>
        <w:rPr>
          <w:rFonts w:ascii="Times New Roman" w:hAnsi="Times New Roman"/>
          <w:b/>
          <w:color w:val="000000" w:themeColor="text1"/>
          <w:sz w:val="28"/>
          <w:szCs w:val="28"/>
          <w:lang w:val="uk-UA" w:eastAsia="ru-RU"/>
        </w:rPr>
        <w:tab/>
      </w:r>
      <w:r>
        <w:rPr>
          <w:rFonts w:ascii="Times New Roman" w:hAnsi="Times New Roman"/>
          <w:b/>
          <w:color w:val="000000" w:themeColor="text1"/>
          <w:sz w:val="28"/>
          <w:szCs w:val="28"/>
          <w:lang w:val="uk-UA" w:eastAsia="ru-RU"/>
        </w:rPr>
        <w:tab/>
      </w:r>
      <w:r>
        <w:rPr>
          <w:rFonts w:ascii="Times New Roman" w:hAnsi="Times New Roman"/>
          <w:b/>
          <w:color w:val="000000" w:themeColor="text1"/>
          <w:sz w:val="28"/>
          <w:szCs w:val="28"/>
          <w:lang w:val="uk-UA" w:eastAsia="ru-RU"/>
        </w:rPr>
        <w:tab/>
      </w:r>
      <w:r>
        <w:rPr>
          <w:rFonts w:ascii="Times New Roman" w:hAnsi="Times New Roman"/>
          <w:b/>
          <w:color w:val="000000" w:themeColor="text1"/>
          <w:sz w:val="28"/>
          <w:szCs w:val="28"/>
          <w:lang w:val="uk-UA" w:eastAsia="ru-RU"/>
        </w:rPr>
        <w:tab/>
      </w:r>
      <w:r>
        <w:rPr>
          <w:rFonts w:ascii="Times New Roman" w:hAnsi="Times New Roman"/>
          <w:b/>
          <w:color w:val="000000" w:themeColor="text1"/>
          <w:sz w:val="28"/>
          <w:szCs w:val="28"/>
          <w:lang w:val="uk-UA" w:eastAsia="ru-RU"/>
        </w:rPr>
        <w:tab/>
      </w:r>
      <w:r>
        <w:rPr>
          <w:rFonts w:ascii="Times New Roman" w:hAnsi="Times New Roman"/>
          <w:b/>
          <w:color w:val="000000" w:themeColor="text1"/>
          <w:sz w:val="28"/>
          <w:szCs w:val="28"/>
          <w:lang w:val="uk-UA" w:eastAsia="ru-RU"/>
        </w:rPr>
        <w:tab/>
      </w:r>
      <w:r>
        <w:rPr>
          <w:rFonts w:ascii="Times New Roman" w:hAnsi="Times New Roman"/>
          <w:b/>
          <w:color w:val="000000" w:themeColor="text1"/>
          <w:sz w:val="28"/>
          <w:szCs w:val="28"/>
          <w:lang w:val="uk-UA" w:eastAsia="ru-RU"/>
        </w:rPr>
        <w:tab/>
        <w:t>А.КЛОЧКО</w:t>
      </w:r>
    </w:p>
    <w:sectPr w:rsidR="00BF5D7F" w:rsidRPr="006C52F8" w:rsidSect="00FE5549">
      <w:headerReference w:type="default" r:id="rId10"/>
      <w:footerReference w:type="default" r:id="rId11"/>
      <w:headerReference w:type="first" r:id="rId12"/>
      <w:pgSz w:w="11906" w:h="16838"/>
      <w:pgMar w:top="1134" w:right="851"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B51" w:rsidRDefault="00AB5B51" w:rsidP="005E306B">
      <w:pPr>
        <w:spacing w:after="0" w:line="240" w:lineRule="auto"/>
      </w:pPr>
      <w:r>
        <w:separator/>
      </w:r>
    </w:p>
  </w:endnote>
  <w:endnote w:type="continuationSeparator" w:id="0">
    <w:p w:rsidR="00AB5B51" w:rsidRDefault="00AB5B5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4071709"/>
      <w:docPartObj>
        <w:docPartGallery w:val="Page Numbers (Bottom of Page)"/>
        <w:docPartUnique/>
      </w:docPartObj>
    </w:sdtPr>
    <w:sdtEndPr/>
    <w:sdtContent>
      <w:p w:rsidR="00197B65" w:rsidRDefault="00197B65">
        <w:pPr>
          <w:pStyle w:val="a5"/>
          <w:jc w:val="center"/>
        </w:pPr>
        <w:r>
          <w:fldChar w:fldCharType="begin"/>
        </w:r>
        <w:r>
          <w:instrText>PAGE   \* MERGEFORMAT</w:instrText>
        </w:r>
        <w:r>
          <w:fldChar w:fldCharType="separate"/>
        </w:r>
        <w:r w:rsidR="00CE707A" w:rsidRPr="00CE707A">
          <w:rPr>
            <w:noProof/>
            <w:lang w:val="uk-UA"/>
          </w:rPr>
          <w:t>3</w:t>
        </w:r>
        <w:r>
          <w:fldChar w:fldCharType="end"/>
        </w:r>
      </w:p>
    </w:sdtContent>
  </w:sdt>
  <w:p w:rsidR="00197B65" w:rsidRDefault="00197B6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B51" w:rsidRDefault="00AB5B51" w:rsidP="005E306B">
      <w:pPr>
        <w:spacing w:after="0" w:line="240" w:lineRule="auto"/>
      </w:pPr>
      <w:r>
        <w:separator/>
      </w:r>
    </w:p>
  </w:footnote>
  <w:footnote w:type="continuationSeparator" w:id="0">
    <w:p w:rsidR="00AB5B51" w:rsidRDefault="00AB5B5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410104">
    <w:pPr>
      <w:pStyle w:val="a3"/>
      <w:tabs>
        <w:tab w:val="clear" w:pos="9355"/>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CE6A4B" w:rsidRPr="00AD7F82" w:rsidTr="00FE5549">
      <w:tc>
        <w:tcPr>
          <w:tcW w:w="11482" w:type="dxa"/>
          <w:tcBorders>
            <w:top w:val="nil"/>
            <w:left w:val="nil"/>
            <w:bottom w:val="nil"/>
            <w:right w:val="nil"/>
          </w:tcBorders>
        </w:tcPr>
        <w:p w:rsidR="00CE6A4B" w:rsidRPr="00AD7F82" w:rsidRDefault="00CE6A4B" w:rsidP="00FE5549">
          <w:pPr>
            <w:pStyle w:val="a3"/>
            <w:tabs>
              <w:tab w:val="clear" w:pos="4677"/>
              <w:tab w:val="clear" w:pos="9355"/>
            </w:tabs>
            <w:ind w:left="178" w:hanging="178"/>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FD3187" w:rsidRPr="00053776" w:rsidTr="00FE5549">
      <w:tc>
        <w:tcPr>
          <w:tcW w:w="6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11341" w:type="dxa"/>
        </w:tcPr>
        <w:p w:rsidR="0037067D" w:rsidRDefault="0037067D" w:rsidP="000E7215">
          <w:pPr>
            <w:pStyle w:val="a3"/>
            <w:tabs>
              <w:tab w:val="clear" w:pos="4677"/>
              <w:tab w:val="clear" w:pos="9355"/>
            </w:tabs>
            <w:spacing w:before="480" w:after="480"/>
            <w:ind w:right="597"/>
            <w:jc w:val="right"/>
            <w:rPr>
              <w:rFonts w:ascii="Times New Roman" w:hAnsi="Times New Roman"/>
              <w:b/>
              <w:color w:val="1829A8"/>
              <w:spacing w:val="20"/>
              <w:sz w:val="28"/>
              <w:szCs w:val="28"/>
              <w:lang w:val="uk-UA"/>
            </w:rPr>
          </w:pPr>
          <w:r>
            <w:rPr>
              <w:rFonts w:ascii="Times New Roman" w:hAnsi="Times New Roman"/>
              <w:b/>
              <w:color w:val="1829A8"/>
              <w:spacing w:val="20"/>
              <w:sz w:val="28"/>
              <w:szCs w:val="28"/>
              <w:lang w:val="uk-UA"/>
            </w:rPr>
            <w:t>ВЕРХОВНА РАДА УКРАЇНИ</w:t>
          </w:r>
        </w:p>
        <w:p w:rsidR="00FD3187" w:rsidRPr="00053776" w:rsidRDefault="00CF361F" w:rsidP="00727F81">
          <w:pPr>
            <w:pStyle w:val="a3"/>
            <w:tabs>
              <w:tab w:val="clear" w:pos="4677"/>
              <w:tab w:val="clear" w:pos="9355"/>
            </w:tabs>
            <w:spacing w:before="48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4E24"/>
    <w:rsid w:val="000607EA"/>
    <w:rsid w:val="00071336"/>
    <w:rsid w:val="000861E1"/>
    <w:rsid w:val="000B1F1A"/>
    <w:rsid w:val="000D75C4"/>
    <w:rsid w:val="000E7215"/>
    <w:rsid w:val="000F1586"/>
    <w:rsid w:val="00141617"/>
    <w:rsid w:val="001835B2"/>
    <w:rsid w:val="0019108F"/>
    <w:rsid w:val="00194F6B"/>
    <w:rsid w:val="001966F0"/>
    <w:rsid w:val="00197B65"/>
    <w:rsid w:val="001C2A3A"/>
    <w:rsid w:val="001C55D4"/>
    <w:rsid w:val="001D3C24"/>
    <w:rsid w:val="0021032F"/>
    <w:rsid w:val="00235CD7"/>
    <w:rsid w:val="00252A4F"/>
    <w:rsid w:val="00252D88"/>
    <w:rsid w:val="00257E04"/>
    <w:rsid w:val="00260AF7"/>
    <w:rsid w:val="002A3E42"/>
    <w:rsid w:val="002A5D4C"/>
    <w:rsid w:val="002B5FC1"/>
    <w:rsid w:val="002D0561"/>
    <w:rsid w:val="002D73A2"/>
    <w:rsid w:val="002E0A18"/>
    <w:rsid w:val="002E31BF"/>
    <w:rsid w:val="002E44DA"/>
    <w:rsid w:val="00301527"/>
    <w:rsid w:val="00306148"/>
    <w:rsid w:val="00334E9A"/>
    <w:rsid w:val="003552C3"/>
    <w:rsid w:val="00362094"/>
    <w:rsid w:val="0037067D"/>
    <w:rsid w:val="003A3CD4"/>
    <w:rsid w:val="003D1CBA"/>
    <w:rsid w:val="003D4F36"/>
    <w:rsid w:val="00410104"/>
    <w:rsid w:val="0041632B"/>
    <w:rsid w:val="00451750"/>
    <w:rsid w:val="00475467"/>
    <w:rsid w:val="004852FA"/>
    <w:rsid w:val="004A7FE2"/>
    <w:rsid w:val="004B28BB"/>
    <w:rsid w:val="004B7734"/>
    <w:rsid w:val="004E4F5C"/>
    <w:rsid w:val="004F7B8A"/>
    <w:rsid w:val="0050620F"/>
    <w:rsid w:val="00510F18"/>
    <w:rsid w:val="00532551"/>
    <w:rsid w:val="0055005A"/>
    <w:rsid w:val="0056039F"/>
    <w:rsid w:val="0056352F"/>
    <w:rsid w:val="005A4728"/>
    <w:rsid w:val="005A78B4"/>
    <w:rsid w:val="005B71F5"/>
    <w:rsid w:val="005E306B"/>
    <w:rsid w:val="005F20B5"/>
    <w:rsid w:val="00605E6B"/>
    <w:rsid w:val="00622ACA"/>
    <w:rsid w:val="00626A3E"/>
    <w:rsid w:val="00630F34"/>
    <w:rsid w:val="00660B13"/>
    <w:rsid w:val="00663095"/>
    <w:rsid w:val="0066623D"/>
    <w:rsid w:val="006C52F8"/>
    <w:rsid w:val="006F1073"/>
    <w:rsid w:val="006F10E8"/>
    <w:rsid w:val="00706A93"/>
    <w:rsid w:val="00713E93"/>
    <w:rsid w:val="00727F81"/>
    <w:rsid w:val="0073224C"/>
    <w:rsid w:val="007A73CF"/>
    <w:rsid w:val="007B1B94"/>
    <w:rsid w:val="007F5D91"/>
    <w:rsid w:val="0080545D"/>
    <w:rsid w:val="00851D12"/>
    <w:rsid w:val="00854539"/>
    <w:rsid w:val="008651E2"/>
    <w:rsid w:val="008726EC"/>
    <w:rsid w:val="00893CD5"/>
    <w:rsid w:val="008A288D"/>
    <w:rsid w:val="00945B68"/>
    <w:rsid w:val="00957D31"/>
    <w:rsid w:val="0096033F"/>
    <w:rsid w:val="009A720A"/>
    <w:rsid w:val="009F5401"/>
    <w:rsid w:val="00A00059"/>
    <w:rsid w:val="00A7635E"/>
    <w:rsid w:val="00A833C8"/>
    <w:rsid w:val="00AB5B51"/>
    <w:rsid w:val="00AD7F82"/>
    <w:rsid w:val="00BA3299"/>
    <w:rsid w:val="00BB3C64"/>
    <w:rsid w:val="00BD0801"/>
    <w:rsid w:val="00BF1E95"/>
    <w:rsid w:val="00BF5D7F"/>
    <w:rsid w:val="00C021A1"/>
    <w:rsid w:val="00C11FB6"/>
    <w:rsid w:val="00C27AE9"/>
    <w:rsid w:val="00C7023A"/>
    <w:rsid w:val="00C86266"/>
    <w:rsid w:val="00C86C27"/>
    <w:rsid w:val="00C9090D"/>
    <w:rsid w:val="00CA7044"/>
    <w:rsid w:val="00CC39A1"/>
    <w:rsid w:val="00CC6892"/>
    <w:rsid w:val="00CD4A38"/>
    <w:rsid w:val="00CE3E1B"/>
    <w:rsid w:val="00CE6A4B"/>
    <w:rsid w:val="00CE707A"/>
    <w:rsid w:val="00CF361F"/>
    <w:rsid w:val="00D14B3E"/>
    <w:rsid w:val="00D242C2"/>
    <w:rsid w:val="00D37FA2"/>
    <w:rsid w:val="00D52549"/>
    <w:rsid w:val="00D57E1B"/>
    <w:rsid w:val="00DB2342"/>
    <w:rsid w:val="00DF0115"/>
    <w:rsid w:val="00DF1F5B"/>
    <w:rsid w:val="00E36136"/>
    <w:rsid w:val="00EC7001"/>
    <w:rsid w:val="00EF4F20"/>
    <w:rsid w:val="00F11951"/>
    <w:rsid w:val="00F55423"/>
    <w:rsid w:val="00F91DD3"/>
    <w:rsid w:val="00F94D42"/>
    <w:rsid w:val="00FC3DA2"/>
    <w:rsid w:val="00FC3DF4"/>
    <w:rsid w:val="00FC4164"/>
    <w:rsid w:val="00FD3187"/>
    <w:rsid w:val="00FE5549"/>
    <w:rsid w:val="00FE680B"/>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rvts9">
    <w:name w:val="rvts9"/>
    <w:basedOn w:val="a0"/>
    <w:rsid w:val="00197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8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78BC-F878-4B1A-93EF-772778497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2D6F47-244F-4E00-9E73-88B8EE4E8B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7E03B9-C691-4DFD-B948-C9CEAFA639B9}">
  <ds:schemaRefs>
    <ds:schemaRef ds:uri="http://schemas.microsoft.com/sharepoint/v3/contenttype/forms"/>
  </ds:schemaRefs>
</ds:datastoreItem>
</file>

<file path=customXml/itemProps4.xml><?xml version="1.0" encoding="utf-8"?>
<ds:datastoreItem xmlns:ds="http://schemas.openxmlformats.org/officeDocument/2006/customXml" ds:itemID="{003D034F-4188-4810-8AF2-B08E4893D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4739</Words>
  <Characters>2702</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Deputat_VRU</dc:creator>
  <cp:keywords/>
  <dc:description/>
  <cp:lastModifiedBy>Гарбуз Юрій Петрович</cp:lastModifiedBy>
  <cp:revision>2</cp:revision>
  <dcterms:created xsi:type="dcterms:W3CDTF">2021-03-03T15:03:00Z</dcterms:created>
  <dcterms:modified xsi:type="dcterms:W3CDTF">2021-03-03T15:03:00Z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