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36CBB" w14:textId="77777777" w:rsidR="00F24B15" w:rsidRPr="004420DB" w:rsidRDefault="00F24B15" w:rsidP="00F24B15">
      <w:pPr>
        <w:spacing w:after="0" w:line="240" w:lineRule="auto"/>
        <w:jc w:val="center"/>
        <w:rPr>
          <w:rFonts w:ascii="Times New Roman" w:eastAsia="Times New Roman" w:hAnsi="Times New Roman" w:cs="Times New Roman"/>
          <w:sz w:val="24"/>
          <w:szCs w:val="24"/>
          <w:lang w:val="uk-UA"/>
        </w:rPr>
      </w:pPr>
      <w:bookmarkStart w:id="0" w:name="_GoBack"/>
      <w:bookmarkEnd w:id="0"/>
      <w:r w:rsidRPr="004420DB">
        <w:rPr>
          <w:rFonts w:ascii="Times New Roman" w:eastAsia="Times New Roman" w:hAnsi="Times New Roman" w:cs="Times New Roman"/>
          <w:b/>
          <w:bCs/>
          <w:sz w:val="28"/>
          <w:szCs w:val="28"/>
          <w:lang w:val="uk-UA"/>
        </w:rPr>
        <w:t>ПОРІВНЯЛЬНА ТАБЛИЦЯ</w:t>
      </w:r>
    </w:p>
    <w:p w14:paraId="7D3F1D6B" w14:textId="6AB98E03" w:rsidR="00F24B15" w:rsidRPr="004420DB" w:rsidRDefault="00F24B15" w:rsidP="00F24B15">
      <w:pPr>
        <w:shd w:val="clear" w:color="auto" w:fill="FFFFFF"/>
        <w:spacing w:after="0" w:line="240" w:lineRule="auto"/>
        <w:jc w:val="center"/>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 xml:space="preserve">до проекту Закону України про внесення змін до Податкового кодексу України  щодо </w:t>
      </w:r>
      <w:r w:rsidR="004420DB" w:rsidRPr="004420DB">
        <w:rPr>
          <w:rFonts w:ascii="Times New Roman" w:eastAsia="Times New Roman" w:hAnsi="Times New Roman" w:cs="Times New Roman"/>
          <w:b/>
          <w:bCs/>
          <w:sz w:val="28"/>
          <w:szCs w:val="28"/>
          <w:lang w:val="uk-UA"/>
        </w:rPr>
        <w:t>уточнення окремих положень про застосування реєстраторів розрахункових операцій</w:t>
      </w:r>
    </w:p>
    <w:p w14:paraId="795889C1" w14:textId="77777777" w:rsidR="00F24B15" w:rsidRPr="004420DB" w:rsidRDefault="00F24B15" w:rsidP="00F24B15">
      <w:pPr>
        <w:spacing w:after="0" w:line="240" w:lineRule="auto"/>
        <w:rPr>
          <w:rFonts w:ascii="Times New Roman" w:eastAsia="Times New Roman" w:hAnsi="Times New Roman" w:cs="Times New Roman"/>
          <w:sz w:val="24"/>
          <w:szCs w:val="24"/>
          <w:lang w:val="uk-UA"/>
        </w:rPr>
      </w:pPr>
    </w:p>
    <w:tbl>
      <w:tblPr>
        <w:tblW w:w="0" w:type="auto"/>
        <w:tblCellMar>
          <w:top w:w="15" w:type="dxa"/>
          <w:left w:w="15" w:type="dxa"/>
          <w:bottom w:w="15" w:type="dxa"/>
          <w:right w:w="15" w:type="dxa"/>
        </w:tblCellMar>
        <w:tblLook w:val="04A0" w:firstRow="1" w:lastRow="0" w:firstColumn="1" w:lastColumn="0" w:noHBand="0" w:noVBand="1"/>
      </w:tblPr>
      <w:tblGrid>
        <w:gridCol w:w="7209"/>
        <w:gridCol w:w="7351"/>
      </w:tblGrid>
      <w:tr w:rsidR="00F24B15" w:rsidRPr="004420DB" w14:paraId="7A80722E" w14:textId="77777777" w:rsidTr="00F24B1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A9A2EE" w14:textId="77777777" w:rsidR="00F24B15" w:rsidRPr="004420DB" w:rsidRDefault="00F24B15" w:rsidP="00F24B15">
            <w:pPr>
              <w:spacing w:after="0" w:line="240" w:lineRule="auto"/>
              <w:jc w:val="center"/>
              <w:rPr>
                <w:rFonts w:ascii="Times New Roman" w:eastAsia="Times New Roman" w:hAnsi="Times New Roman" w:cs="Times New Roman"/>
                <w:b/>
                <w:bCs/>
                <w:sz w:val="28"/>
                <w:szCs w:val="28"/>
                <w:lang w:val="uk-UA"/>
              </w:rPr>
            </w:pPr>
            <w:r w:rsidRPr="004420DB">
              <w:rPr>
                <w:rFonts w:ascii="Times New Roman" w:eastAsia="Times New Roman" w:hAnsi="Times New Roman" w:cs="Times New Roman"/>
                <w:b/>
                <w:bCs/>
                <w:sz w:val="28"/>
                <w:szCs w:val="28"/>
                <w:lang w:val="uk-UA"/>
              </w:rPr>
              <w:t>Чинна редакція норм Податкового кодексу України </w:t>
            </w:r>
          </w:p>
          <w:p w14:paraId="0ADC5B02" w14:textId="77777777" w:rsidR="00F24B15" w:rsidRPr="004420DB" w:rsidRDefault="00F24B15" w:rsidP="00F24B15">
            <w:pPr>
              <w:spacing w:after="0" w:line="240" w:lineRule="auto"/>
              <w:jc w:val="center"/>
              <w:rPr>
                <w:rFonts w:ascii="Times New Roman" w:eastAsia="Times New Roman" w:hAnsi="Times New Roman" w:cs="Times New Roman"/>
                <w:sz w:val="24"/>
                <w:szCs w:val="24"/>
                <w:lang w:val="uk-UA"/>
              </w:rPr>
            </w:pPr>
          </w:p>
          <w:p w14:paraId="429C0756" w14:textId="77777777" w:rsidR="00F24B15" w:rsidRPr="004420DB" w:rsidRDefault="00F24B15" w:rsidP="00F24B15">
            <w:pPr>
              <w:spacing w:after="0" w:line="240" w:lineRule="auto"/>
              <w:rPr>
                <w:rFonts w:ascii="Times New Roman" w:eastAsia="Times New Roman" w:hAnsi="Times New Roman" w:cs="Times New Roman"/>
                <w:sz w:val="24"/>
                <w:szCs w:val="24"/>
                <w:lang w:val="uk-U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D23D23" w14:textId="77777777" w:rsidR="00F24B15" w:rsidRPr="004420DB" w:rsidRDefault="00F24B15" w:rsidP="00F24B15">
            <w:pPr>
              <w:spacing w:after="0" w:line="240" w:lineRule="auto"/>
              <w:jc w:val="center"/>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Пропонована редакція змін</w:t>
            </w:r>
          </w:p>
        </w:tc>
      </w:tr>
      <w:tr w:rsidR="00F24B15" w:rsidRPr="004420DB" w14:paraId="1B561354"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A94254"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Стаття 14. Визначення понять</w:t>
            </w:r>
          </w:p>
          <w:p w14:paraId="74624E7A"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14.1. У цьому Кодексі поняття вживаються в такому значенні: </w:t>
            </w:r>
          </w:p>
          <w:p w14:paraId="7A69A6D6"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42325E25"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 xml:space="preserve">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чеків, </w:t>
            </w:r>
            <w:r w:rsidRPr="004420DB">
              <w:rPr>
                <w:rFonts w:ascii="Times New Roman" w:eastAsia="Times New Roman" w:hAnsi="Times New Roman" w:cs="Times New Roman"/>
                <w:b/>
                <w:bCs/>
                <w:sz w:val="28"/>
                <w:szCs w:val="28"/>
                <w:lang w:val="uk-UA"/>
              </w:rPr>
              <w:t>створених реєстраторами розрахункових операцій та програмними реєстраторами розрахункових операцій</w:t>
            </w:r>
            <w:r w:rsidRPr="004420DB">
              <w:rPr>
                <w:rFonts w:ascii="Times New Roman" w:eastAsia="Times New Roman" w:hAnsi="Times New Roman" w:cs="Times New Roman"/>
                <w:sz w:val="28"/>
                <w:szCs w:val="28"/>
                <w:lang w:val="uk-UA"/>
              </w:rPr>
              <w:t>), перевірки справжності та достовірності розрахункових документів.</w:t>
            </w:r>
          </w:p>
          <w:p w14:paraId="21529BC4"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Користувачам-покупцям (споживачам) через Електронний кабінет, що функціонує відповідно до статті 42-1 цього Кодексу, забезпечується можливість:</w:t>
            </w:r>
          </w:p>
          <w:p w14:paraId="792E7E60"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контролю справжності та достовірності розрахункових документів, що зберігаються в СОД РРО;</w:t>
            </w:r>
          </w:p>
          <w:p w14:paraId="07B3105B"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 xml:space="preserve">заповнення та подання скарг покупця (споживача) щодо порушення встановленого порядку </w:t>
            </w:r>
            <w:r w:rsidRPr="004420DB">
              <w:rPr>
                <w:rFonts w:ascii="Times New Roman" w:eastAsia="Times New Roman" w:hAnsi="Times New Roman" w:cs="Times New Roman"/>
                <w:b/>
                <w:bCs/>
                <w:sz w:val="28"/>
                <w:szCs w:val="28"/>
                <w:lang w:val="uk-UA"/>
              </w:rPr>
              <w:lastRenderedPageBreak/>
              <w:t>проведення розрахункових операцій, якщо вартість товарів (робіт, послуг), які є предметом скарги, на день їх отримання покупцем (споживачем) перевищує 850 гривень;</w:t>
            </w:r>
          </w:p>
          <w:p w14:paraId="7B8720B0"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отримання інформації про стан розгляду скарги покупця (споживача), про застосовані штрафні (фінансові) санкції за наслідками розгляду скарги або про причини їх незастосування контролюючим органом, про зарахування сум штрафних (фінансових) санкцій до бюджету, про стан виконання висновку про компенсацію частини суми штрафних (фінансових) санкцій за скаргою покупця (споживача) в обсягах та порядку, встановлених законодавством.</w:t>
            </w:r>
          </w:p>
          <w:p w14:paraId="09FDF188"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p w14:paraId="6E27AFF7"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14.1.279. компенсація частини суми штрафних (фінансових) санкцій, визначених за даними СОД РРО, - це грошові кошти, що перераховуються покупцям (споживачам) за рахунок штрафних (фінансових) санкцій, застосованих контролюючими органами, за результатами проведеної перевірки за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969477"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14. Визначення понять</w:t>
            </w:r>
          </w:p>
          <w:p w14:paraId="42CA44EA"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14.1. У цьому Кодексі поняття вживаються в такому значенні: </w:t>
            </w:r>
          </w:p>
          <w:p w14:paraId="64C29AE0"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18BC635C"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чеків), перевірки справжності та достовірності розрахункових документів.</w:t>
            </w:r>
          </w:p>
          <w:p w14:paraId="0E3C8E0D"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Користувачам-покупцям (споживачам) через Електронний кабінет, що функціонує відповідно до статті 42-1 цього Кодексу, забезпечується можливість:</w:t>
            </w:r>
          </w:p>
          <w:p w14:paraId="44224318"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контролю справжності та достовірності розрахункових документів, що зберігаються в СОД РРО;</w:t>
            </w:r>
          </w:p>
          <w:p w14:paraId="7174B64C" w14:textId="415A3EAD"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8"/>
                <w:szCs w:val="28"/>
                <w:lang w:val="uk-UA"/>
              </w:rPr>
            </w:pPr>
            <w:r w:rsidRPr="004420DB">
              <w:rPr>
                <w:rFonts w:ascii="Times New Roman" w:eastAsia="Times New Roman" w:hAnsi="Times New Roman" w:cs="Times New Roman"/>
                <w:sz w:val="28"/>
                <w:szCs w:val="28"/>
                <w:lang w:val="uk-UA"/>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p w14:paraId="3E233C34" w14:textId="68C96A0F"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11F6B31E" w14:textId="40424E6E"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4AC7A535" w14:textId="6819B486"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3D2F6374" w14:textId="5E072CC2"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544D0397" w14:textId="298F8E06"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034851AD" w14:textId="087216FE"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1BE8CA25" w14:textId="4C9FBCEE"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271FDCB4" w14:textId="0C62A648"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3F91D72C" w14:textId="58F8839B"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50DDBC3B" w14:textId="658B04FD"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214B4AC8" w14:textId="6080B192"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442922DA" w14:textId="792AE5DA"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7DC0C22B" w14:textId="66E5F410"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1ED1012D" w14:textId="5326DC62"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14E18EEB" w14:textId="2C3495C1"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7861D26B" w14:textId="5BD253BF"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2EE3B069" w14:textId="6FF386CE"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6C8784CB" w14:textId="25FE589B"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299A0BB3" w14:textId="15BFA041"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7373A95D" w14:textId="37354720"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p>
          <w:p w14:paraId="11F677A9" w14:textId="37594A7D"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b/>
                <w:bCs/>
                <w:sz w:val="28"/>
                <w:szCs w:val="28"/>
                <w:lang w:val="uk-UA"/>
              </w:rPr>
            </w:pPr>
          </w:p>
          <w:p w14:paraId="778B6ACF" w14:textId="6B3EF801"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виключити</w:t>
            </w:r>
          </w:p>
          <w:p w14:paraId="258285DC" w14:textId="77777777" w:rsidR="00F24B15" w:rsidRPr="004420DB" w:rsidRDefault="00F24B15" w:rsidP="00F24B15">
            <w:pPr>
              <w:spacing w:after="0" w:line="240" w:lineRule="auto"/>
              <w:rPr>
                <w:rFonts w:ascii="Times New Roman" w:eastAsia="Times New Roman" w:hAnsi="Times New Roman" w:cs="Times New Roman"/>
                <w:sz w:val="24"/>
                <w:szCs w:val="24"/>
                <w:lang w:val="uk-UA"/>
              </w:rPr>
            </w:pPr>
          </w:p>
        </w:tc>
      </w:tr>
      <w:tr w:rsidR="00F24B15" w:rsidRPr="004420DB" w14:paraId="022E5FAA"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03F27"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43. Умови повернення помилково та/або надміру сплачених грошових зобов’язань і пені</w:t>
            </w:r>
            <w:r w:rsidRPr="004420DB">
              <w:rPr>
                <w:rFonts w:ascii="Times New Roman" w:eastAsia="Times New Roman" w:hAnsi="Times New Roman" w:cs="Times New Roman"/>
                <w:b/>
                <w:bCs/>
                <w:sz w:val="28"/>
                <w:szCs w:val="28"/>
                <w:lang w:val="uk-UA"/>
              </w:rPr>
              <w:t xml:space="preserve"> </w:t>
            </w:r>
            <w:r w:rsidRPr="004420DB">
              <w:rPr>
                <w:rFonts w:ascii="Times New Roman" w:eastAsia="Times New Roman" w:hAnsi="Times New Roman" w:cs="Times New Roman"/>
                <w:sz w:val="28"/>
                <w:szCs w:val="28"/>
                <w:lang w:val="uk-UA"/>
              </w:rPr>
              <w:t>та перерахування компенсації частини суми штрафних (фінансових) санкцій, визначених за даними СОД РРО, на користь покупців (споживачів)</w:t>
            </w:r>
          </w:p>
          <w:p w14:paraId="65F39980"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w:t>
            </w:r>
          </w:p>
          <w:p w14:paraId="4D54B7A3"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43.5. Контролюючий орган не пізніше ніж за п’ять робочих днів до закінчення двадцятиденного строку з дня подання платником податків заяви готує висновок про повернення належних сум коштів з відповідного бюджету та подає його для виконання до органу, що здійснює казначейське обслуговування бюджетних коштів.</w:t>
            </w:r>
          </w:p>
          <w:p w14:paraId="4615D6E2"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Для здійснення компенсації частини штрафних (фінансових) санкцій, визначених за даними СОД РРО, на користь покупця (споживача) відповідний контролюючий орган протягом п’яти робочих днів з дня зарахування до бюджету штрафних (фінансових) санкцій, застосованих до платника податків за порушення встановленого порядку проведення розрахункових операцій, готує висновок та подає його для виконання до відповідного органу, що здійснює казначейське обслуговування бюджетних коштів.</w:t>
            </w:r>
          </w:p>
          <w:p w14:paraId="4EE180CE"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 xml:space="preserve">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а також </w:t>
            </w:r>
            <w:r w:rsidRPr="004420DB">
              <w:rPr>
                <w:rFonts w:ascii="Times New Roman" w:eastAsia="Times New Roman" w:hAnsi="Times New Roman" w:cs="Times New Roman"/>
                <w:sz w:val="28"/>
                <w:szCs w:val="28"/>
                <w:lang w:val="uk-UA"/>
              </w:rPr>
              <w:lastRenderedPageBreak/>
              <w:t>перераховує на користь відповідного покупця (споживача) компенсацію частини суми штрафних (фінансових) санкцій, визначених за даними СОД РРО, у порядку, встановленому центральним органом виконавчої влади, що забезпечує формування та реалізує державну фінансову політику.</w:t>
            </w:r>
          </w:p>
          <w:p w14:paraId="3C173D79"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Контролюючий орган несе відповідальність згідно із законом за несвоєчасність передачі до органу, що здійснює казначейське обслуговування бюджетних коштів, для виконання висновку про повернення відповідних сум коштів та про перерахування компенсації частини суми штрафних (фінансових) санкцій, визначених за даними СОД РРО, покупцям (споживачам) з відповідного бюджету.</w:t>
            </w:r>
          </w:p>
          <w:p w14:paraId="629E0E3E"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 xml:space="preserve">43.6. </w:t>
            </w:r>
            <w:r w:rsidRPr="004420DB">
              <w:rPr>
                <w:rFonts w:ascii="Times New Roman" w:eastAsia="Times New Roman" w:hAnsi="Times New Roman" w:cs="Times New Roman"/>
                <w:b/>
                <w:bCs/>
                <w:sz w:val="28"/>
                <w:szCs w:val="28"/>
                <w:lang w:val="uk-UA"/>
              </w:rPr>
              <w:t>Повернення помилково та/або надміру сплачених грошових зобов’язань платникам податків та перерахування компенсації частини суми штрафних (фінансових) санкцій, визначених за даними СОД РРО, покупцям (споживачам) здійснюється з бюджету, у який такі кошти були зараховані.</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53EB5"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43. Умови повернення помилково та/або надміру сплачених грошових зобов'язань та пені</w:t>
            </w:r>
          </w:p>
          <w:p w14:paraId="4C938BF5" w14:textId="77777777" w:rsidR="00F24B15" w:rsidRPr="004420DB" w:rsidRDefault="00F24B15" w:rsidP="00F24B15">
            <w:pPr>
              <w:spacing w:after="240" w:line="240" w:lineRule="auto"/>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4"/>
                <w:szCs w:val="24"/>
                <w:lang w:val="uk-UA"/>
              </w:rPr>
              <w:br/>
            </w:r>
          </w:p>
          <w:p w14:paraId="536D068D"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18A1332E"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43.5. Контролюючий орган не пізніше ніж за п'ять робочих днів до закінчення двадцятиденного строку з дня подання платником податків заяви готує висновок про повернення відповідних сум коштів з відповідного бюджету та подає його для виконання відповідному органові, що здійснює казначейське обслуговування бюджетних коштів.</w:t>
            </w:r>
          </w:p>
          <w:p w14:paraId="7B352B06"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у порядку, встановленому центральним органом виконавчої влади, що забезпечує формування та реалізує державну фінансову політику.</w:t>
            </w:r>
          </w:p>
          <w:p w14:paraId="41C071AD"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Контролюючий орган несе відповідальність згідно із законом за несвоєчасність передачі органу, що здійснює казначейське обслуговування бюджетних коштів для виконання висновку про повернення відповідних сум коштів з відповідного бюджету.</w:t>
            </w:r>
          </w:p>
          <w:p w14:paraId="0ED5D44A" w14:textId="77777777" w:rsidR="00F24B15" w:rsidRPr="004420DB" w:rsidRDefault="00F24B15" w:rsidP="00F24B15">
            <w:pPr>
              <w:spacing w:after="240" w:line="240" w:lineRule="auto"/>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lastRenderedPageBreak/>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p>
          <w:p w14:paraId="1BDC9503" w14:textId="77777777" w:rsidR="002811F3" w:rsidRPr="004420DB" w:rsidRDefault="002811F3" w:rsidP="00F24B15">
            <w:pPr>
              <w:spacing w:after="0" w:line="240" w:lineRule="auto"/>
              <w:ind w:firstLine="669"/>
              <w:jc w:val="both"/>
              <w:rPr>
                <w:rFonts w:ascii="Times New Roman" w:eastAsia="Times New Roman" w:hAnsi="Times New Roman" w:cs="Times New Roman"/>
                <w:b/>
                <w:bCs/>
                <w:sz w:val="28"/>
                <w:szCs w:val="28"/>
                <w:lang w:val="uk-UA"/>
              </w:rPr>
            </w:pPr>
          </w:p>
          <w:p w14:paraId="4993E244" w14:textId="77777777" w:rsidR="002811F3" w:rsidRPr="004420DB" w:rsidRDefault="002811F3" w:rsidP="00F24B15">
            <w:pPr>
              <w:spacing w:after="0" w:line="240" w:lineRule="auto"/>
              <w:ind w:firstLine="669"/>
              <w:jc w:val="both"/>
              <w:rPr>
                <w:rFonts w:ascii="Times New Roman" w:eastAsia="Times New Roman" w:hAnsi="Times New Roman" w:cs="Times New Roman"/>
                <w:b/>
                <w:bCs/>
                <w:sz w:val="28"/>
                <w:szCs w:val="28"/>
                <w:lang w:val="uk-UA"/>
              </w:rPr>
            </w:pPr>
          </w:p>
          <w:p w14:paraId="71B5DA5A" w14:textId="77777777" w:rsidR="002811F3" w:rsidRPr="004420DB" w:rsidRDefault="002811F3" w:rsidP="00F24B15">
            <w:pPr>
              <w:spacing w:after="0" w:line="240" w:lineRule="auto"/>
              <w:ind w:firstLine="669"/>
              <w:jc w:val="both"/>
              <w:rPr>
                <w:rFonts w:ascii="Times New Roman" w:eastAsia="Times New Roman" w:hAnsi="Times New Roman" w:cs="Times New Roman"/>
                <w:b/>
                <w:bCs/>
                <w:sz w:val="28"/>
                <w:szCs w:val="28"/>
                <w:lang w:val="uk-UA"/>
              </w:rPr>
            </w:pPr>
          </w:p>
          <w:p w14:paraId="0F6C9C46" w14:textId="77777777" w:rsidR="002811F3" w:rsidRPr="004420DB" w:rsidRDefault="002811F3" w:rsidP="00F24B15">
            <w:pPr>
              <w:spacing w:after="0" w:line="240" w:lineRule="auto"/>
              <w:ind w:firstLine="669"/>
              <w:jc w:val="both"/>
              <w:rPr>
                <w:rFonts w:ascii="Times New Roman" w:eastAsia="Times New Roman" w:hAnsi="Times New Roman" w:cs="Times New Roman"/>
                <w:b/>
                <w:bCs/>
                <w:sz w:val="28"/>
                <w:szCs w:val="28"/>
                <w:lang w:val="uk-UA"/>
              </w:rPr>
            </w:pPr>
          </w:p>
          <w:p w14:paraId="14849291" w14:textId="77777777" w:rsidR="002811F3" w:rsidRPr="004420DB" w:rsidRDefault="002811F3" w:rsidP="00F24B15">
            <w:pPr>
              <w:spacing w:after="0" w:line="240" w:lineRule="auto"/>
              <w:ind w:firstLine="669"/>
              <w:jc w:val="both"/>
              <w:rPr>
                <w:rFonts w:ascii="Times New Roman" w:eastAsia="Times New Roman" w:hAnsi="Times New Roman" w:cs="Times New Roman"/>
                <w:b/>
                <w:bCs/>
                <w:sz w:val="28"/>
                <w:szCs w:val="28"/>
                <w:lang w:val="uk-UA"/>
              </w:rPr>
            </w:pPr>
          </w:p>
          <w:p w14:paraId="7DF71442" w14:textId="77777777" w:rsidR="002811F3" w:rsidRPr="004420DB" w:rsidRDefault="002811F3" w:rsidP="00F24B15">
            <w:pPr>
              <w:spacing w:after="0" w:line="240" w:lineRule="auto"/>
              <w:ind w:firstLine="669"/>
              <w:jc w:val="both"/>
              <w:rPr>
                <w:rFonts w:ascii="Times New Roman" w:eastAsia="Times New Roman" w:hAnsi="Times New Roman" w:cs="Times New Roman"/>
                <w:b/>
                <w:bCs/>
                <w:sz w:val="28"/>
                <w:szCs w:val="28"/>
                <w:lang w:val="uk-UA"/>
              </w:rPr>
            </w:pPr>
          </w:p>
          <w:p w14:paraId="3C3DD793" w14:textId="3CF78005"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43.6. Повернення помилково та/або надміру сплачених грошових зобов’язань платникам податків здійснюється з бюджету, у який такі кошти були зараховані.</w:t>
            </w:r>
          </w:p>
          <w:p w14:paraId="2B840130" w14:textId="77777777" w:rsidR="00F24B15" w:rsidRPr="004420DB" w:rsidRDefault="00F24B15" w:rsidP="00F24B15">
            <w:pPr>
              <w:spacing w:after="240" w:line="240" w:lineRule="auto"/>
              <w:rPr>
                <w:rFonts w:ascii="Times New Roman" w:eastAsia="Times New Roman" w:hAnsi="Times New Roman" w:cs="Times New Roman"/>
                <w:sz w:val="24"/>
                <w:szCs w:val="24"/>
                <w:lang w:val="uk-UA"/>
              </w:rPr>
            </w:pPr>
          </w:p>
        </w:tc>
      </w:tr>
      <w:tr w:rsidR="00F24B15" w:rsidRPr="004420DB" w14:paraId="50D1E2D8"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18AC56"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72. Збір податкової інформації</w:t>
            </w:r>
          </w:p>
          <w:p w14:paraId="75984631"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72.1. Для інформаційно-аналітичного забезпечення діяльності контролюючого органу використовується інформація, що надійшла:</w:t>
            </w:r>
          </w:p>
          <w:p w14:paraId="6DC9CCAB"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72.1.1. від платників податків та податкових агентів, зокрема інформація:</w:t>
            </w:r>
          </w:p>
          <w:p w14:paraId="71BDBA86"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16A99101"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lastRenderedPageBreak/>
              <w:t>72.1.1.4. про застосування реєстраторів розрахункових операцій, програмних реєстраторів розрахункових операцій, у тому числі електронні копії розрахункових документів та фіскальних звітних чеків, поданих до контролюючих органів. Для цілей цього підпункту терміни вживаються у значеннях, наведених у Законі України "Про застосування реєстраторів розрахункових операцій у сфері торгівлі, громадського харчування та послуг"</w:t>
            </w:r>
            <w:r w:rsidRPr="004420DB">
              <w:rPr>
                <w:rFonts w:ascii="Times New Roman" w:eastAsia="Times New Roman" w:hAnsi="Times New Roman" w:cs="Times New Roman"/>
                <w:sz w:val="28"/>
                <w:szCs w:val="28"/>
                <w:lang w:val="uk-UA"/>
              </w:rPr>
              <w:t>;</w:t>
            </w:r>
          </w:p>
          <w:p w14:paraId="022CA39E"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058D861F"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72.1.6. для інформаційно-аналітичного забезпечення діяльності також використовується інша інформація, оприлюднена відповідно до законодавства та/або добровільно чи за запитом надана контролюючому органу в установленому законом порядку, а також інформація, наведена у скарзі покупця (споживача) щодо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D4D627" w14:textId="60C59892" w:rsidR="002811F3" w:rsidRPr="004420DB" w:rsidRDefault="002811F3" w:rsidP="002811F3">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72. Збір податкової інформації</w:t>
            </w:r>
          </w:p>
          <w:p w14:paraId="2E284AB2" w14:textId="77777777" w:rsidR="002811F3" w:rsidRPr="004420DB" w:rsidRDefault="002811F3" w:rsidP="002811F3">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72.1. Для інформаційно-аналітичного забезпечення діяльності контролюючого органу використовується інформація, що надійшла:</w:t>
            </w:r>
          </w:p>
          <w:p w14:paraId="5AC64ECD" w14:textId="77777777" w:rsidR="002811F3" w:rsidRPr="004420DB" w:rsidRDefault="002811F3" w:rsidP="002811F3">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72.1.1. від платників податків та податкових агентів, зокрема інформація:</w:t>
            </w:r>
          </w:p>
          <w:p w14:paraId="1352F1CE" w14:textId="5ADADC78" w:rsidR="002811F3" w:rsidRPr="004420DB" w:rsidRDefault="002811F3" w:rsidP="002811F3">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54113AA8"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lastRenderedPageBreak/>
              <w:t>72.1.1.4. про застосування реєстраторів розрахункових операцій, програмних реєстраторів розрахункових операцій.</w:t>
            </w:r>
          </w:p>
          <w:p w14:paraId="34040F3E" w14:textId="1948C389" w:rsidR="00F24B15" w:rsidRPr="004420DB" w:rsidRDefault="00F24B15" w:rsidP="00F24B15">
            <w:pPr>
              <w:spacing w:after="240" w:line="240" w:lineRule="auto"/>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r w:rsidRPr="004420DB">
              <w:rPr>
                <w:rFonts w:ascii="Times New Roman" w:eastAsia="Times New Roman" w:hAnsi="Times New Roman" w:cs="Times New Roman"/>
                <w:sz w:val="24"/>
                <w:szCs w:val="24"/>
                <w:lang w:val="uk-UA"/>
              </w:rPr>
              <w:br/>
            </w:r>
          </w:p>
          <w:p w14:paraId="4765DE26" w14:textId="77777777" w:rsidR="002811F3" w:rsidRPr="004420DB" w:rsidRDefault="002811F3" w:rsidP="002811F3">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2A8D8072" w14:textId="77777777" w:rsidR="002811F3" w:rsidRPr="004420DB" w:rsidRDefault="002811F3" w:rsidP="00F24B15">
            <w:pPr>
              <w:spacing w:after="240" w:line="240" w:lineRule="auto"/>
              <w:rPr>
                <w:rFonts w:ascii="Times New Roman" w:eastAsia="Times New Roman" w:hAnsi="Times New Roman" w:cs="Times New Roman"/>
                <w:sz w:val="24"/>
                <w:szCs w:val="24"/>
                <w:lang w:val="uk-UA"/>
              </w:rPr>
            </w:pPr>
          </w:p>
          <w:p w14:paraId="1AC99558"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72.1.6. для інформаційно-аналітичного забезпечення діяльності також використовується інша інформація, оприлюднена як така, що підлягає оприлюдненню відповідно до законодавства та/або добровільно чи за запитом надана контролюючому органу в установленому законом порядку.</w:t>
            </w:r>
          </w:p>
          <w:p w14:paraId="4272FFF3" w14:textId="77777777" w:rsidR="00F24B15" w:rsidRPr="004420DB" w:rsidRDefault="00F24B15" w:rsidP="00F24B15">
            <w:pPr>
              <w:spacing w:after="0" w:line="240" w:lineRule="auto"/>
              <w:rPr>
                <w:rFonts w:ascii="Times New Roman" w:eastAsia="Times New Roman" w:hAnsi="Times New Roman" w:cs="Times New Roman"/>
                <w:sz w:val="24"/>
                <w:szCs w:val="24"/>
                <w:lang w:val="uk-UA"/>
              </w:rPr>
            </w:pPr>
          </w:p>
        </w:tc>
      </w:tr>
      <w:tr w:rsidR="00F24B15" w:rsidRPr="004420DB" w14:paraId="0DAE1419"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F862F2"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73. Отримання податкової інформації контролюючими органами</w:t>
            </w:r>
          </w:p>
          <w:p w14:paraId="39F895A9"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 xml:space="preserve">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w:t>
            </w:r>
            <w:r w:rsidRPr="004420DB">
              <w:rPr>
                <w:rFonts w:ascii="Times New Roman" w:eastAsia="Times New Roman" w:hAnsi="Times New Roman" w:cs="Times New Roman"/>
                <w:sz w:val="28"/>
                <w:szCs w:val="28"/>
                <w:lang w:val="uk-UA"/>
              </w:rPr>
              <w:lastRenderedPageBreak/>
              <w:t>законом), необхідної для виконання покладених на контролюючі органи функцій, завдань, та її документального підтвердження.</w:t>
            </w:r>
          </w:p>
          <w:p w14:paraId="109253A2"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589F1C28"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w:t>
            </w:r>
          </w:p>
          <w:p w14:paraId="6B080E1C"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1</w:t>
            </w:r>
            <w:r w:rsidRPr="004420DB">
              <w:rPr>
                <w:rFonts w:ascii="Times New Roman" w:eastAsia="Times New Roman" w:hAnsi="Times New Roman" w:cs="Times New Roman"/>
                <w:b/>
                <w:bCs/>
                <w:sz w:val="28"/>
                <w:szCs w:val="28"/>
                <w:vertAlign w:val="superscript"/>
                <w:lang w:val="uk-UA"/>
              </w:rPr>
              <w:t>-1</w:t>
            </w:r>
            <w:r w:rsidRPr="004420DB">
              <w:rPr>
                <w:rFonts w:ascii="Times New Roman" w:eastAsia="Times New Roman" w:hAnsi="Times New Roman" w:cs="Times New Roman"/>
                <w:b/>
                <w:bCs/>
                <w:sz w:val="28"/>
                <w:szCs w:val="28"/>
                <w:lang w:val="uk-UA"/>
              </w:rPr>
              <w:t>) отримання скарги покупця (споживача) щодо порушення платником податків встановленого порядку проведення розрахункових операцій. Письмовий запит до платника податків, направлений у зв’язку з отриманням скарги покупця (споживача), повинен стосуватися виключно предмета такої скарги</w:t>
            </w:r>
            <w:r w:rsidRPr="004420DB">
              <w:rPr>
                <w:rFonts w:ascii="Times New Roman" w:eastAsia="Times New Roman" w:hAnsi="Times New Roman" w:cs="Times New Roman"/>
                <w:sz w:val="28"/>
                <w:szCs w:val="28"/>
                <w:lang w:val="uk-U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12315F"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73. Отримання податкової інформації контролюючими органами</w:t>
            </w:r>
          </w:p>
          <w:p w14:paraId="67FCE43F"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 xml:space="preserve">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w:t>
            </w:r>
            <w:r w:rsidRPr="004420DB">
              <w:rPr>
                <w:rFonts w:ascii="Times New Roman" w:eastAsia="Times New Roman" w:hAnsi="Times New Roman" w:cs="Times New Roman"/>
                <w:sz w:val="28"/>
                <w:szCs w:val="28"/>
                <w:lang w:val="uk-UA"/>
              </w:rPr>
              <w:lastRenderedPageBreak/>
              <w:t>законом), необхідної для виконання покладених на контролюючі органи функцій, завдань, та її документального підтвердження.</w:t>
            </w:r>
          </w:p>
          <w:p w14:paraId="6BCD43D0"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3CAF773A"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w:t>
            </w:r>
          </w:p>
          <w:p w14:paraId="327DBEDE" w14:textId="77777777" w:rsidR="00F24B15" w:rsidRPr="004420DB" w:rsidRDefault="00F24B15" w:rsidP="00F24B15">
            <w:pPr>
              <w:spacing w:after="240" w:line="240" w:lineRule="auto"/>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4"/>
                <w:szCs w:val="24"/>
                <w:lang w:val="uk-UA"/>
              </w:rPr>
              <w:br/>
            </w:r>
          </w:p>
          <w:p w14:paraId="1D10197A" w14:textId="77777777" w:rsidR="00F24B15" w:rsidRPr="004420DB" w:rsidRDefault="00F24B15" w:rsidP="00F24B15">
            <w:pPr>
              <w:spacing w:after="0" w:line="240" w:lineRule="auto"/>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         Виключити.</w:t>
            </w:r>
          </w:p>
        </w:tc>
      </w:tr>
      <w:tr w:rsidR="00F24B15" w:rsidRPr="004420DB" w14:paraId="29183AC2"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45AE17"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113. Штрафні (фінансові) санкції (штрафи)</w:t>
            </w:r>
          </w:p>
          <w:p w14:paraId="0E348C3D"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 </w:t>
            </w:r>
          </w:p>
          <w:p w14:paraId="10F4B882"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113.4. Частина суми штрафних (фінансових) санкцій, сплачених за результатами перевірки, проведеної за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 підлягає перерахуванню покупцю (споживачу), який подав таку скаргу.</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571D7C"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Стаття 113. Штрафні (фінансові) санкції (штрафи)</w:t>
            </w:r>
          </w:p>
          <w:p w14:paraId="0412D1C0"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610572F6"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Виключити</w:t>
            </w:r>
          </w:p>
        </w:tc>
      </w:tr>
      <w:tr w:rsidR="00F24B15" w:rsidRPr="004420DB" w14:paraId="778C9F09"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2F3D4"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Стаття 165. Доходи, які не включаються до розрахунку загального місячного (річного) оподатковуваного доходу</w:t>
            </w:r>
          </w:p>
          <w:p w14:paraId="1DA0CD35"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165.1. До загального місячного (річного) оподатковуваного доходу платника податку не включаються такі доходи:</w:t>
            </w:r>
          </w:p>
          <w:p w14:paraId="3CED1EC7"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6FC29ECB"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165.1.60. компенсація частини суми штрафних (фінансових) санкцій, визначених за даними СОД РРО, отримана покупцем (споживачем) за рахунок штрафних (фінансових) санкцій, застосованих контролюючими органами за результатами проведеної перевірки за зверненням або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2BE2C"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Стаття 165. Доходи, які не включаються до розрахунку загального місячного (річного) оподатковуваного доходу</w:t>
            </w:r>
          </w:p>
          <w:p w14:paraId="39564B2B"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165.1. До загального місячного (річного) оподатковуваного доходу платника податку не включаються такі доходи:</w:t>
            </w:r>
          </w:p>
          <w:p w14:paraId="3E8E7867"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7AADE1B4" w14:textId="77777777" w:rsidR="00F24B15" w:rsidRPr="004420DB" w:rsidRDefault="00F24B15" w:rsidP="00F24B15">
            <w:pPr>
              <w:spacing w:after="0" w:line="240" w:lineRule="auto"/>
              <w:rPr>
                <w:rFonts w:ascii="Times New Roman" w:eastAsia="Times New Roman" w:hAnsi="Times New Roman" w:cs="Times New Roman"/>
                <w:sz w:val="24"/>
                <w:szCs w:val="24"/>
                <w:lang w:val="uk-UA"/>
              </w:rPr>
            </w:pPr>
          </w:p>
          <w:p w14:paraId="7BB8B1DE"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Виключити</w:t>
            </w:r>
          </w:p>
        </w:tc>
      </w:tr>
      <w:tr w:rsidR="00F24B15" w:rsidRPr="004420DB" w14:paraId="40C7E242"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BE132E"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Стаття 296. Ведення обліку і складення звітності платниками єдиного податку</w:t>
            </w:r>
          </w:p>
          <w:p w14:paraId="5EF2AFBD"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1F4CD24F"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296.10. Реєстратори розрахункових операцій та/або програмні реєстратори розрахункових операцій не застосовуються платниками єдиного податку першої групи.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0A4DD6" w14:textId="77777777" w:rsidR="002811F3" w:rsidRPr="004420DB" w:rsidRDefault="002811F3" w:rsidP="002811F3">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Стаття 296. Ведення обліку і складення звітності платниками єдиного податку</w:t>
            </w:r>
          </w:p>
          <w:p w14:paraId="2358CEA1" w14:textId="77777777" w:rsidR="002811F3" w:rsidRPr="004420DB" w:rsidRDefault="002811F3" w:rsidP="002811F3">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w:t>
            </w:r>
          </w:p>
          <w:p w14:paraId="7A9B9BFE" w14:textId="687BEA30" w:rsidR="00F24B15" w:rsidRPr="004420DB" w:rsidRDefault="002811F3" w:rsidP="002811F3">
            <w:pPr>
              <w:spacing w:after="0" w:line="240" w:lineRule="auto"/>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 xml:space="preserve">    </w:t>
            </w:r>
            <w:r w:rsidR="00F24B15" w:rsidRPr="004420DB">
              <w:rPr>
                <w:rFonts w:ascii="Times New Roman" w:eastAsia="Times New Roman" w:hAnsi="Times New Roman" w:cs="Times New Roman"/>
                <w:b/>
                <w:bCs/>
                <w:sz w:val="28"/>
                <w:szCs w:val="28"/>
                <w:lang w:val="uk-UA"/>
              </w:rPr>
              <w:t>296.10. Реєстратори розрахункових операцій</w:t>
            </w:r>
            <w:r w:rsidR="00F24B15" w:rsidRPr="004420DB">
              <w:rPr>
                <w:rFonts w:ascii="Times New Roman" w:eastAsia="Times New Roman" w:hAnsi="Times New Roman" w:cs="Times New Roman"/>
                <w:sz w:val="28"/>
                <w:szCs w:val="28"/>
                <w:lang w:val="uk-UA"/>
              </w:rPr>
              <w:t xml:space="preserve"> </w:t>
            </w:r>
            <w:r w:rsidR="00F24B15" w:rsidRPr="004420DB">
              <w:rPr>
                <w:rFonts w:ascii="Times New Roman" w:eastAsia="Times New Roman" w:hAnsi="Times New Roman" w:cs="Times New Roman"/>
                <w:b/>
                <w:bCs/>
                <w:sz w:val="28"/>
                <w:szCs w:val="28"/>
                <w:lang w:val="uk-UA"/>
              </w:rPr>
              <w:t>та/або програмні реєстратори розрахункових операцій не застосовуються платниками єдиного податку</w:t>
            </w:r>
            <w:r w:rsidRPr="004420DB">
              <w:rPr>
                <w:rFonts w:ascii="Times New Roman" w:eastAsia="Times New Roman" w:hAnsi="Times New Roman" w:cs="Times New Roman"/>
                <w:b/>
                <w:bCs/>
                <w:sz w:val="28"/>
                <w:szCs w:val="28"/>
                <w:lang w:val="uk-UA"/>
              </w:rPr>
              <w:t xml:space="preserve"> першої</w:t>
            </w:r>
            <w:r w:rsidR="00F24B15" w:rsidRPr="004420DB">
              <w:rPr>
                <w:rFonts w:ascii="Times New Roman" w:eastAsia="Times New Roman" w:hAnsi="Times New Roman" w:cs="Times New Roman"/>
                <w:b/>
                <w:bCs/>
                <w:sz w:val="28"/>
                <w:szCs w:val="28"/>
                <w:lang w:val="uk-UA"/>
              </w:rPr>
              <w:t xml:space="preserve"> - четвертої груп (фізичні особи - підприємці) незалежно від обраного виду діяльності, обсяг доходу яких протягом календарного року не перевищує 1000000 </w:t>
            </w:r>
            <w:r w:rsidR="00F24B15" w:rsidRPr="004420DB">
              <w:rPr>
                <w:rFonts w:ascii="Times New Roman" w:eastAsia="Times New Roman" w:hAnsi="Times New Roman" w:cs="Times New Roman"/>
                <w:b/>
                <w:bCs/>
                <w:sz w:val="28"/>
                <w:szCs w:val="28"/>
                <w:lang w:val="uk-UA"/>
              </w:rPr>
              <w:lastRenderedPageBreak/>
              <w:t>гривень. У разі перевищення в календарному році обсягу доходу понад 1000000 гривень застосування реєстратора розрахункових операцій або програмного реєстратора розрахункових операцій для такого платника єдиного податку є обов’язковим. Застосування реєстратора розрахункових операцій або програмні реєстратори розрахункових операцій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14:paraId="3EBC4FD1" w14:textId="77777777" w:rsidR="00F24B15" w:rsidRPr="004420DB" w:rsidRDefault="00F24B15" w:rsidP="00F24B15">
            <w:pPr>
              <w:spacing w:after="0" w:line="240" w:lineRule="auto"/>
              <w:ind w:firstLine="669"/>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b/>
                <w:bCs/>
                <w:sz w:val="28"/>
                <w:szCs w:val="28"/>
                <w:lang w:val="uk-UA"/>
              </w:rPr>
              <w:t>Норми цього пункту не поширюються на платників єдиного податку, які здійснюють реалізацію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594ED82B" w14:textId="77777777" w:rsidR="00F24B15" w:rsidRPr="004420DB" w:rsidRDefault="00F24B15" w:rsidP="00F24B15">
            <w:pPr>
              <w:spacing w:after="0" w:line="240" w:lineRule="auto"/>
              <w:rPr>
                <w:rFonts w:ascii="Times New Roman" w:eastAsia="Times New Roman" w:hAnsi="Times New Roman" w:cs="Times New Roman"/>
                <w:sz w:val="24"/>
                <w:szCs w:val="24"/>
                <w:lang w:val="uk-UA"/>
              </w:rPr>
            </w:pPr>
          </w:p>
        </w:tc>
      </w:tr>
      <w:tr w:rsidR="00F24B15" w:rsidRPr="004420DB" w14:paraId="188F003F"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3FC263"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lastRenderedPageBreak/>
              <w:t>РОЗДІЛ XX. ПЕРЕХІДНІ ПОЛОЖЕННЯ</w:t>
            </w:r>
          </w:p>
        </w:tc>
        <w:tc>
          <w:tcPr>
            <w:tcW w:w="0" w:type="auto"/>
            <w:tcBorders>
              <w:top w:val="single" w:sz="4" w:space="0" w:color="000000"/>
              <w:left w:val="single" w:sz="4" w:space="0" w:color="000000"/>
              <w:bottom w:val="single" w:sz="4" w:space="0" w:color="000000"/>
            </w:tcBorders>
            <w:tcMar>
              <w:top w:w="0" w:type="dxa"/>
              <w:left w:w="108" w:type="dxa"/>
              <w:bottom w:w="0" w:type="dxa"/>
              <w:right w:w="108" w:type="dxa"/>
            </w:tcMar>
            <w:hideMark/>
          </w:tcPr>
          <w:p w14:paraId="5C112395"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sz w:val="24"/>
                <w:szCs w:val="24"/>
                <w:lang w:val="uk-UA"/>
              </w:rPr>
            </w:pPr>
            <w:r w:rsidRPr="004420DB">
              <w:rPr>
                <w:rFonts w:ascii="Times New Roman" w:eastAsia="Times New Roman" w:hAnsi="Times New Roman" w:cs="Times New Roman"/>
                <w:sz w:val="28"/>
                <w:szCs w:val="28"/>
                <w:lang w:val="uk-UA"/>
              </w:rPr>
              <w:t>РОЗДІЛ XX. ПЕРЕХІДНІ ПОЛОЖЕННЯ</w:t>
            </w:r>
          </w:p>
        </w:tc>
      </w:tr>
      <w:tr w:rsidR="00F24B15" w:rsidRPr="004420DB" w14:paraId="101175CE" w14:textId="77777777" w:rsidTr="00F24B1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0920B1"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Підрозділ 10. Інші перехідні положення</w:t>
            </w:r>
          </w:p>
          <w:p w14:paraId="1637FBCC"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w:t>
            </w:r>
          </w:p>
          <w:p w14:paraId="42B8407B" w14:textId="77777777" w:rsidR="002811F3" w:rsidRPr="004420DB" w:rsidRDefault="002811F3" w:rsidP="00F24B15">
            <w:pPr>
              <w:shd w:val="clear" w:color="auto" w:fill="FFFFFF"/>
              <w:spacing w:after="0" w:line="240" w:lineRule="auto"/>
              <w:ind w:firstLine="601"/>
              <w:jc w:val="both"/>
              <w:rPr>
                <w:rFonts w:ascii="Times New Roman" w:eastAsia="Times New Roman" w:hAnsi="Times New Roman" w:cs="Times New Roman"/>
                <w:b/>
                <w:bCs/>
                <w:sz w:val="28"/>
                <w:szCs w:val="28"/>
                <w:lang w:val="uk-UA"/>
              </w:rPr>
            </w:pPr>
          </w:p>
          <w:p w14:paraId="72CF3F7A" w14:textId="3635A2ED"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lastRenderedPageBreak/>
              <w:t>53. До 1 жовтня 2020 року реєстратори розрахункових операцій та/або програмні реєстратори розрахункових операцій не застосовуються платниками єдиного податку другої - четвертої груп (фізичними особами - підприємцями) незалежно від обраного виду діяльності, обсяг доходу яких протягом календарного року не перевищує 1000000 гривень, крім тих, які здійснюють:</w:t>
            </w:r>
          </w:p>
          <w:p w14:paraId="13C3309F"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реалізацію технічно складних побутових товарів, що підлягають гарантійному ремонту;</w:t>
            </w:r>
          </w:p>
          <w:p w14:paraId="422CFCA2"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реалізацію лікарських засобів, виробів медичного призначення та надання платних  послуг у сфері охорони здоров’я.</w:t>
            </w:r>
          </w:p>
          <w:p w14:paraId="52E4A785"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З 1 жовтня 2020 року до 1 січня 2021 року реєстратори розрахункових операцій та/або програмні реєстратори розрахункових операцій не застосовуються платниками єдиного податку другої - четвертої груп (фізичними особами - підприємцями), обсяг доходу яких протягом календарного року не перевищує 1000000 гривень, незалежно від обраного виду діяльності, крім тих, які здійснюють:</w:t>
            </w:r>
          </w:p>
          <w:p w14:paraId="28FB7CE6"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реалізацію товарів (надання послуг) через мережу Інтернет;</w:t>
            </w:r>
          </w:p>
          <w:p w14:paraId="52F34664"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реалізацію технічно складних побутових товарів, що підлягають гарантійному ремонту;</w:t>
            </w:r>
          </w:p>
          <w:p w14:paraId="59E04511"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lastRenderedPageBreak/>
              <w:t>реалізацію лікарських засобів, виробів медичного призначення та надання платних послуг у сфері охорони здоров’я;</w:t>
            </w:r>
          </w:p>
          <w:p w14:paraId="0BC675BF"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реалізацію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579FC853"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роздрібну торгівлю вживаними товарами в магазинах (група 47.79 КВЕД);</w:t>
            </w:r>
          </w:p>
          <w:p w14:paraId="27D4EAE0"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діяльність ресторанів, кафе, ресторанів швидкого обслуговування, якщо така діяльність є іншою, ніж визначена пунктом 11 статті 9 Закону України "Про застосування реєстраторів розрахункових операцій у сфері торгівлі, громадського харчування та послуг";</w:t>
            </w:r>
          </w:p>
          <w:p w14:paraId="2E435B3C"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діяльність туристичних агентств, туристичних операторів;</w:t>
            </w:r>
          </w:p>
          <w:p w14:paraId="690FC7B0"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діяльність готелів і подібних засобів тимчасового розміщення (група 55.10 КВЕД);</w:t>
            </w:r>
          </w:p>
          <w:p w14:paraId="1D6CA24D"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реалізацію текстилю (крім реалізації за готівкові кошти на ринках), деталей та приладдя для автотранспортних засобів відповідно до переліку, що затверджується Кабінетом Міністрів України.</w:t>
            </w:r>
          </w:p>
          <w:p w14:paraId="6B9B2502"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 xml:space="preserve">У разі перевищення платником єдиного податку другої - четвертої груп (фізичною особою - підприємцем) в календарному році обсягу доходу 1000000 гривень, застосування реєстратора розрахункових операцій та/або програмного </w:t>
            </w:r>
            <w:r w:rsidRPr="004420DB">
              <w:rPr>
                <w:rFonts w:ascii="Times New Roman" w:eastAsia="Times New Roman" w:hAnsi="Times New Roman" w:cs="Times New Roman"/>
                <w:b/>
                <w:bCs/>
                <w:sz w:val="28"/>
                <w:szCs w:val="28"/>
                <w:lang w:val="uk-UA"/>
              </w:rPr>
              <w:lastRenderedPageBreak/>
              <w:t>реєстратора розрахункових операцій для такого платника єдиного податку є обов’язковим. Застосування реєстратора розрахункових операцій та/або програмного реєстратора розрахункових операцій починається з першого числа першого місяця кварталу, наступного за виникненням такого перевищення, та продовжується в усіх наступних податкових періодах протягом реєстрації суб’єкта господарювання як платника єдиного податку.</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E7B10B"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lastRenderedPageBreak/>
              <w:t>Підрозділ 10. Інші перехідні положення</w:t>
            </w:r>
          </w:p>
          <w:p w14:paraId="087FBB75" w14:textId="77777777" w:rsidR="00F24B15" w:rsidRPr="004420DB" w:rsidRDefault="00F24B15" w:rsidP="00F24B15">
            <w:pPr>
              <w:shd w:val="clear" w:color="auto" w:fill="FFFFFF"/>
              <w:spacing w:after="0" w:line="240" w:lineRule="auto"/>
              <w:ind w:firstLine="601"/>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w:t>
            </w:r>
          </w:p>
          <w:p w14:paraId="27471D6B" w14:textId="77777777" w:rsidR="00F24B15" w:rsidRPr="004420DB" w:rsidRDefault="00F24B15" w:rsidP="00F24B15">
            <w:pPr>
              <w:spacing w:after="0" w:line="240" w:lineRule="auto"/>
              <w:rPr>
                <w:rFonts w:ascii="Times New Roman" w:eastAsia="Times New Roman" w:hAnsi="Times New Roman" w:cs="Times New Roman"/>
                <w:b/>
                <w:bCs/>
                <w:sz w:val="24"/>
                <w:szCs w:val="24"/>
                <w:lang w:val="uk-UA"/>
              </w:rPr>
            </w:pPr>
          </w:p>
          <w:p w14:paraId="6E406843" w14:textId="77777777" w:rsidR="00F24B15" w:rsidRPr="004420DB" w:rsidRDefault="00F24B15" w:rsidP="00F24B15">
            <w:pPr>
              <w:spacing w:after="0" w:line="240" w:lineRule="auto"/>
              <w:ind w:firstLine="669"/>
              <w:jc w:val="both"/>
              <w:rPr>
                <w:rFonts w:ascii="Times New Roman" w:eastAsia="Times New Roman" w:hAnsi="Times New Roman" w:cs="Times New Roman"/>
                <w:b/>
                <w:bCs/>
                <w:sz w:val="24"/>
                <w:szCs w:val="24"/>
                <w:lang w:val="uk-UA"/>
              </w:rPr>
            </w:pPr>
            <w:r w:rsidRPr="004420DB">
              <w:rPr>
                <w:rFonts w:ascii="Times New Roman" w:eastAsia="Times New Roman" w:hAnsi="Times New Roman" w:cs="Times New Roman"/>
                <w:b/>
                <w:bCs/>
                <w:sz w:val="28"/>
                <w:szCs w:val="28"/>
                <w:lang w:val="uk-UA"/>
              </w:rPr>
              <w:t>Виключити.</w:t>
            </w:r>
          </w:p>
          <w:p w14:paraId="37ECBCBD" w14:textId="77777777" w:rsidR="00F24B15" w:rsidRPr="004420DB" w:rsidRDefault="00F24B15" w:rsidP="00F24B15">
            <w:pPr>
              <w:spacing w:after="0" w:line="240" w:lineRule="auto"/>
              <w:rPr>
                <w:rFonts w:ascii="Times New Roman" w:eastAsia="Times New Roman" w:hAnsi="Times New Roman" w:cs="Times New Roman"/>
                <w:b/>
                <w:bCs/>
                <w:sz w:val="24"/>
                <w:szCs w:val="24"/>
                <w:lang w:val="uk-UA"/>
              </w:rPr>
            </w:pPr>
          </w:p>
        </w:tc>
      </w:tr>
    </w:tbl>
    <w:p w14:paraId="08E11CD5" w14:textId="77777777" w:rsidR="00994FAF" w:rsidRPr="004420DB" w:rsidRDefault="00994FAF" w:rsidP="00EE2C50">
      <w:pPr>
        <w:spacing w:after="0" w:line="240" w:lineRule="auto"/>
        <w:ind w:firstLine="669"/>
        <w:jc w:val="both"/>
        <w:rPr>
          <w:rFonts w:ascii="Times New Roman" w:eastAsia="Times New Roman" w:hAnsi="Times New Roman" w:cs="Times New Roman"/>
          <w:b/>
          <w:bCs/>
          <w:sz w:val="28"/>
          <w:szCs w:val="28"/>
          <w:lang w:val="uk-UA"/>
        </w:rPr>
      </w:pPr>
    </w:p>
    <w:p w14:paraId="3F1BC54F" w14:textId="3395118E" w:rsidR="00EE2C50" w:rsidRPr="004420DB" w:rsidRDefault="00EE2C50" w:rsidP="00EE2C50">
      <w:pPr>
        <w:spacing w:after="0" w:line="240" w:lineRule="auto"/>
        <w:ind w:firstLine="669"/>
        <w:jc w:val="both"/>
        <w:rPr>
          <w:rFonts w:ascii="Times New Roman" w:eastAsia="Times New Roman" w:hAnsi="Times New Roman" w:cs="Times New Roman"/>
          <w:b/>
          <w:bCs/>
          <w:sz w:val="28"/>
          <w:szCs w:val="28"/>
          <w:lang w:val="uk-UA"/>
        </w:rPr>
      </w:pPr>
      <w:r w:rsidRPr="004420DB">
        <w:rPr>
          <w:rFonts w:ascii="Times New Roman" w:eastAsia="Times New Roman" w:hAnsi="Times New Roman" w:cs="Times New Roman"/>
          <w:b/>
          <w:bCs/>
          <w:sz w:val="28"/>
          <w:szCs w:val="28"/>
          <w:lang w:val="uk-UA"/>
        </w:rPr>
        <w:t>Народн</w:t>
      </w:r>
      <w:r w:rsidR="00C815E7">
        <w:rPr>
          <w:rFonts w:ascii="Times New Roman" w:eastAsia="Times New Roman" w:hAnsi="Times New Roman" w:cs="Times New Roman"/>
          <w:b/>
          <w:bCs/>
          <w:sz w:val="28"/>
          <w:szCs w:val="28"/>
          <w:lang w:val="uk-UA"/>
        </w:rPr>
        <w:t>і</w:t>
      </w:r>
      <w:r w:rsidRPr="004420DB">
        <w:rPr>
          <w:rFonts w:ascii="Times New Roman" w:eastAsia="Times New Roman" w:hAnsi="Times New Roman" w:cs="Times New Roman"/>
          <w:b/>
          <w:bCs/>
          <w:sz w:val="28"/>
          <w:szCs w:val="28"/>
          <w:lang w:val="uk-UA"/>
        </w:rPr>
        <w:t xml:space="preserve"> депутат</w:t>
      </w:r>
      <w:r w:rsidR="00C815E7">
        <w:rPr>
          <w:rFonts w:ascii="Times New Roman" w:eastAsia="Times New Roman" w:hAnsi="Times New Roman" w:cs="Times New Roman"/>
          <w:b/>
          <w:bCs/>
          <w:sz w:val="28"/>
          <w:szCs w:val="28"/>
          <w:lang w:val="uk-UA"/>
        </w:rPr>
        <w:t>и</w:t>
      </w:r>
      <w:r w:rsidRPr="004420DB">
        <w:rPr>
          <w:rFonts w:ascii="Times New Roman" w:eastAsia="Times New Roman" w:hAnsi="Times New Roman" w:cs="Times New Roman"/>
          <w:b/>
          <w:bCs/>
          <w:sz w:val="28"/>
          <w:szCs w:val="28"/>
          <w:lang w:val="uk-UA"/>
        </w:rPr>
        <w:t xml:space="preserve"> України</w:t>
      </w:r>
    </w:p>
    <w:sectPr w:rsidR="00EE2C50" w:rsidRPr="004420DB" w:rsidSect="00F24B15">
      <w:footerReference w:type="default" r:id="rId6"/>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9FB63" w14:textId="77777777" w:rsidR="00C875C8" w:rsidRDefault="00C875C8" w:rsidP="00951D75">
      <w:pPr>
        <w:spacing w:after="0" w:line="240" w:lineRule="auto"/>
      </w:pPr>
      <w:r>
        <w:separator/>
      </w:r>
    </w:p>
  </w:endnote>
  <w:endnote w:type="continuationSeparator" w:id="0">
    <w:p w14:paraId="6453BE06" w14:textId="77777777" w:rsidR="00C875C8" w:rsidRDefault="00C875C8" w:rsidP="00951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2AFF" w:usb1="4000ACFF"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495124"/>
      <w:docPartObj>
        <w:docPartGallery w:val="Page Numbers (Bottom of Page)"/>
        <w:docPartUnique/>
      </w:docPartObj>
    </w:sdtPr>
    <w:sdtContent>
      <w:p w14:paraId="64B9397E" w14:textId="26DF3DE7" w:rsidR="00951D75" w:rsidRDefault="00951D75">
        <w:pPr>
          <w:pStyle w:val="a5"/>
          <w:jc w:val="right"/>
        </w:pPr>
        <w:r>
          <w:fldChar w:fldCharType="begin"/>
        </w:r>
        <w:r>
          <w:instrText>PAGE   \* MERGEFORMAT</w:instrText>
        </w:r>
        <w:r>
          <w:fldChar w:fldCharType="separate"/>
        </w:r>
        <w:r w:rsidRPr="00951D75">
          <w:rPr>
            <w:noProof/>
            <w:lang w:val="uk-UA"/>
          </w:rPr>
          <w:t>2</w:t>
        </w:r>
        <w:r>
          <w:fldChar w:fldCharType="end"/>
        </w:r>
      </w:p>
    </w:sdtContent>
  </w:sdt>
  <w:p w14:paraId="0B62C180" w14:textId="77777777" w:rsidR="00951D75" w:rsidRDefault="00951D7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13A72" w14:textId="77777777" w:rsidR="00C875C8" w:rsidRDefault="00C875C8" w:rsidP="00951D75">
      <w:pPr>
        <w:spacing w:after="0" w:line="240" w:lineRule="auto"/>
      </w:pPr>
      <w:r>
        <w:separator/>
      </w:r>
    </w:p>
  </w:footnote>
  <w:footnote w:type="continuationSeparator" w:id="0">
    <w:p w14:paraId="6DB02129" w14:textId="77777777" w:rsidR="00C875C8" w:rsidRDefault="00C875C8" w:rsidP="00951D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D80"/>
    <w:rsid w:val="002811F3"/>
    <w:rsid w:val="004420DB"/>
    <w:rsid w:val="00897D80"/>
    <w:rsid w:val="00951D75"/>
    <w:rsid w:val="00994FAF"/>
    <w:rsid w:val="00C815E7"/>
    <w:rsid w:val="00C875C8"/>
    <w:rsid w:val="00EE2C50"/>
    <w:rsid w:val="00F24B1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4E5EA"/>
  <w15:chartTrackingRefBased/>
  <w15:docId w15:val="{EE732D23-6766-459C-BB82-7ADD189E1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1D75"/>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951D75"/>
  </w:style>
  <w:style w:type="paragraph" w:styleId="a5">
    <w:name w:val="footer"/>
    <w:basedOn w:val="a"/>
    <w:link w:val="a6"/>
    <w:uiPriority w:val="99"/>
    <w:unhideWhenUsed/>
    <w:rsid w:val="00951D75"/>
    <w:pPr>
      <w:tabs>
        <w:tab w:val="center" w:pos="4819"/>
        <w:tab w:val="right" w:pos="9639"/>
      </w:tabs>
      <w:spacing w:after="0" w:line="240" w:lineRule="auto"/>
    </w:pPr>
  </w:style>
  <w:style w:type="character" w:customStyle="1" w:styleId="a6">
    <w:name w:val="Нижній колонтитул Знак"/>
    <w:basedOn w:val="a0"/>
    <w:link w:val="a5"/>
    <w:uiPriority w:val="99"/>
    <w:rsid w:val="00951D75"/>
  </w:style>
  <w:style w:type="paragraph" w:styleId="a7">
    <w:name w:val="Balloon Text"/>
    <w:basedOn w:val="a"/>
    <w:link w:val="a8"/>
    <w:uiPriority w:val="99"/>
    <w:semiHidden/>
    <w:unhideWhenUsed/>
    <w:rsid w:val="00951D75"/>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951D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10021</Words>
  <Characters>5713</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Three</dc:creator>
  <cp:keywords/>
  <dc:description/>
  <cp:lastModifiedBy>Київець Олена Валеріївна</cp:lastModifiedBy>
  <cp:revision>2</cp:revision>
  <cp:lastPrinted>2019-12-20T11:28:00Z</cp:lastPrinted>
  <dcterms:created xsi:type="dcterms:W3CDTF">2019-12-20T11:29:00Z</dcterms:created>
  <dcterms:modified xsi:type="dcterms:W3CDTF">2019-12-20T11:29:00Z</dcterms:modified>
</cp:coreProperties>
</file>