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35EF" w:rsidRDefault="007635EF" w:rsidP="008135E9">
      <w:pPr>
        <w:spacing w:after="0" w:line="240" w:lineRule="auto"/>
        <w:ind w:left="5387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7635EF">
        <w:rPr>
          <w:rFonts w:ascii="Times New Roman" w:hAnsi="Times New Roman"/>
          <w:b/>
          <w:bCs/>
          <w:sz w:val="28"/>
          <w:szCs w:val="28"/>
          <w:lang w:val="uk-UA"/>
        </w:rPr>
        <w:t xml:space="preserve">Комітет Верховної Ради України </w:t>
      </w:r>
      <w:r w:rsidRPr="007635EF">
        <w:rPr>
          <w:rFonts w:ascii="Times New Roman" w:hAnsi="Times New Roman"/>
          <w:b/>
          <w:bCs/>
          <w:sz w:val="28"/>
          <w:szCs w:val="28"/>
          <w:lang w:val="uk-UA"/>
        </w:rPr>
        <w:br/>
        <w:t>з питань фінансів, податкової та митної політики</w:t>
      </w:r>
    </w:p>
    <w:p w:rsidR="008714FA" w:rsidRDefault="008714FA" w:rsidP="008135E9">
      <w:pPr>
        <w:spacing w:after="0" w:line="240" w:lineRule="auto"/>
        <w:ind w:firstLine="709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252037" w:rsidRPr="007635EF" w:rsidRDefault="00252037" w:rsidP="008135E9">
      <w:pPr>
        <w:spacing w:after="0" w:line="240" w:lineRule="auto"/>
        <w:ind w:firstLine="709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2E55DF" w:rsidRDefault="007F1A56" w:rsidP="009E1F5A">
      <w:pPr>
        <w:shd w:val="clear" w:color="auto" w:fill="FFFFFF"/>
        <w:spacing w:after="0" w:line="240" w:lineRule="auto"/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</w:pPr>
      <w:r w:rsidRPr="00784296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До</w:t>
      </w:r>
      <w:r w:rsidR="007635EF" w:rsidRPr="00784296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 xml:space="preserve"> законопроекту за</w:t>
      </w:r>
      <w:r w:rsidRPr="00784296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 xml:space="preserve"> реєстр. № 25</w:t>
      </w:r>
      <w:r w:rsidR="007635EF" w:rsidRPr="00784296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71</w:t>
      </w:r>
      <w:r w:rsidRPr="00784296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-</w:t>
      </w:r>
      <w:r w:rsidR="00FD7D54" w:rsidRPr="00784296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3</w:t>
      </w:r>
      <w:r w:rsidR="008135E9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 xml:space="preserve"> </w:t>
      </w:r>
      <w:r w:rsidRPr="00784296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 xml:space="preserve">від </w:t>
      </w:r>
      <w:r w:rsidR="007635EF" w:rsidRPr="00784296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2</w:t>
      </w:r>
      <w:r w:rsidR="00FD7D54" w:rsidRPr="00784296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8</w:t>
      </w:r>
      <w:r w:rsidRPr="00784296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.12.2019 р.</w:t>
      </w:r>
    </w:p>
    <w:p w:rsidR="00252037" w:rsidRPr="00252037" w:rsidRDefault="00252037" w:rsidP="009E1F5A">
      <w:pPr>
        <w:shd w:val="clear" w:color="auto" w:fill="FFFFFF"/>
        <w:spacing w:after="0" w:line="240" w:lineRule="auto"/>
        <w:rPr>
          <w:rFonts w:ascii="Times New Roman" w:eastAsia="Times New Roman" w:hAnsi="Times New Roman"/>
          <w:i/>
          <w:sz w:val="28"/>
          <w:szCs w:val="28"/>
          <w:u w:val="single"/>
          <w:lang w:val="uk-UA" w:eastAsia="ru-RU"/>
        </w:rPr>
      </w:pPr>
      <w:bookmarkStart w:id="0" w:name="_GoBack"/>
      <w:bookmarkEnd w:id="0"/>
    </w:p>
    <w:p w:rsidR="00252037" w:rsidRPr="00252037" w:rsidRDefault="00252037" w:rsidP="009E1F5A">
      <w:pPr>
        <w:shd w:val="clear" w:color="auto" w:fill="FFFFFF"/>
        <w:spacing w:after="0" w:line="240" w:lineRule="auto"/>
        <w:rPr>
          <w:rFonts w:ascii="Times New Roman" w:eastAsia="Times New Roman" w:hAnsi="Times New Roman"/>
          <w:i/>
          <w:sz w:val="28"/>
          <w:szCs w:val="28"/>
          <w:u w:val="single"/>
          <w:lang w:val="uk-UA" w:eastAsia="ru-RU"/>
        </w:rPr>
      </w:pPr>
    </w:p>
    <w:p w:rsidR="00FD7D54" w:rsidRPr="008E07C5" w:rsidRDefault="00FD7D54" w:rsidP="008135E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8E07C5">
        <w:rPr>
          <w:rFonts w:ascii="Times New Roman" w:hAnsi="Times New Roman"/>
          <w:sz w:val="28"/>
          <w:szCs w:val="28"/>
          <w:lang w:val="uk-UA"/>
        </w:rPr>
        <w:t xml:space="preserve">Комітет Верховної Ради України з питань бюджету на своєму засіданні </w:t>
      </w:r>
      <w:r w:rsidR="00FF24F3">
        <w:rPr>
          <w:rFonts w:ascii="Times New Roman" w:hAnsi="Times New Roman"/>
          <w:sz w:val="28"/>
          <w:szCs w:val="28"/>
          <w:lang w:val="uk-UA"/>
        </w:rPr>
        <w:t>18</w:t>
      </w:r>
      <w:r w:rsidRPr="008E07C5">
        <w:rPr>
          <w:rFonts w:ascii="Times New Roman" w:hAnsi="Times New Roman"/>
          <w:sz w:val="28"/>
          <w:szCs w:val="28"/>
          <w:lang w:val="uk-UA"/>
        </w:rPr>
        <w:t> березня 2020 року (протокол № </w:t>
      </w:r>
      <w:r w:rsidR="00FF24F3">
        <w:rPr>
          <w:rFonts w:ascii="Times New Roman" w:hAnsi="Times New Roman"/>
          <w:sz w:val="28"/>
          <w:szCs w:val="28"/>
          <w:lang w:val="uk-UA"/>
        </w:rPr>
        <w:t>30</w:t>
      </w:r>
      <w:r w:rsidRPr="008E07C5">
        <w:rPr>
          <w:rFonts w:ascii="Times New Roman" w:hAnsi="Times New Roman"/>
          <w:sz w:val="28"/>
          <w:szCs w:val="28"/>
          <w:lang w:val="uk-UA"/>
        </w:rPr>
        <w:t>) відповідно до статей 27 і 109 Бюджетного кодексу України та статті 93 Регламенту Верховної Ради України розглянув проект Закону України «Про внесення змін до деяких законодавчих актів України щодо окремих питань функціонування банківської системи» (реєстр. № 2571-3 від 28.12.2019 р.), внесений народним депутатом України Палицею І.П.</w:t>
      </w:r>
    </w:p>
    <w:p w:rsidR="00FD7D54" w:rsidRPr="008E07C5" w:rsidRDefault="00FD7D54" w:rsidP="008135E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8E07C5">
        <w:rPr>
          <w:rFonts w:ascii="Times New Roman" w:hAnsi="Times New Roman"/>
          <w:sz w:val="28"/>
          <w:szCs w:val="28"/>
          <w:lang w:val="uk-UA"/>
        </w:rPr>
        <w:t xml:space="preserve">Згідно з пояснювальною запискою законопроект є альтернативним до урядового законопроекту (реєстр. № 2571), а його прийняття дозволить </w:t>
      </w:r>
      <w:r w:rsidRPr="008E07C5">
        <w:rPr>
          <w:rFonts w:ascii="Times New Roman" w:eastAsia="Times New Roman" w:hAnsi="Times New Roman"/>
          <w:sz w:val="28"/>
          <w:szCs w:val="28"/>
          <w:lang w:val="uk-UA" w:eastAsia="ru-RU"/>
        </w:rPr>
        <w:t>створити дієвий механізм належного захисту інтересів вкладників, інших кредиторів банків, держави, не ставлячи, при цьому, під ризик функціонування правової системи України, її базових принципів та недопущення порушень основоположних прав і свобод громадян.</w:t>
      </w:r>
    </w:p>
    <w:p w:rsidR="00FD7D54" w:rsidRDefault="00FD7D54" w:rsidP="008135E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8E07C5">
        <w:rPr>
          <w:rFonts w:ascii="Times New Roman" w:hAnsi="Times New Roman"/>
          <w:sz w:val="28"/>
          <w:szCs w:val="28"/>
          <w:lang w:val="uk-UA"/>
        </w:rPr>
        <w:t xml:space="preserve">Серед іншого законопроектом передбачені зміни до Закону України «Про систему гарантування вкладів фізичних осіб», зокрема, в частині уточнення положень про </w:t>
      </w:r>
      <w:r w:rsidR="00270431">
        <w:rPr>
          <w:rFonts w:ascii="Times New Roman" w:hAnsi="Times New Roman"/>
          <w:sz w:val="28"/>
          <w:szCs w:val="28"/>
          <w:lang w:val="uk-UA"/>
        </w:rPr>
        <w:t>джерела формування коштів Фонду</w:t>
      </w:r>
      <w:r w:rsidR="009E1F5A">
        <w:rPr>
          <w:rFonts w:ascii="Times New Roman" w:hAnsi="Times New Roman"/>
          <w:sz w:val="28"/>
          <w:szCs w:val="28"/>
          <w:lang w:val="uk-UA"/>
        </w:rPr>
        <w:t xml:space="preserve"> гарантування вкладів фізичних осіб (далі – Фонд)</w:t>
      </w:r>
      <w:r w:rsidR="00270431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8E07C5">
        <w:rPr>
          <w:rFonts w:ascii="Times New Roman" w:hAnsi="Times New Roman"/>
          <w:sz w:val="28"/>
          <w:szCs w:val="28"/>
          <w:lang w:val="uk-UA"/>
        </w:rPr>
        <w:t>гарантії за вкладом, особливості продажу неплатоспроможного банку, особливості виведення неплатоспроможного банку з ринку за участю держави.</w:t>
      </w:r>
    </w:p>
    <w:p w:rsidR="009E1F5A" w:rsidRPr="008E07C5" w:rsidRDefault="009E1F5A" w:rsidP="008135E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Поряд з тим, законопроектом пропонується передбачити положення, згідно з яким установити, що дія Закону України «Про систему гарантування вкладів фізичних осіб» не поширюється на банки, більше 75% статутного капіталу як</w:t>
      </w:r>
      <w:r w:rsidR="00252037">
        <w:rPr>
          <w:rFonts w:ascii="Times New Roman" w:hAnsi="Times New Roman"/>
          <w:sz w:val="28"/>
          <w:szCs w:val="28"/>
          <w:lang w:val="uk-UA"/>
        </w:rPr>
        <w:t>их</w:t>
      </w:r>
      <w:r>
        <w:rPr>
          <w:rFonts w:ascii="Times New Roman" w:hAnsi="Times New Roman"/>
          <w:sz w:val="28"/>
          <w:szCs w:val="28"/>
          <w:lang w:val="uk-UA"/>
        </w:rPr>
        <w:t xml:space="preserve"> належить державі на момент набрання чинності цим положенням. З цього приводу Міністерство фінансів зауважує, що не передбачено механізм гарантування вкладів в таких банках.</w:t>
      </w:r>
    </w:p>
    <w:p w:rsidR="00FD7D54" w:rsidRPr="008E07C5" w:rsidRDefault="00FD7D54" w:rsidP="008135E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8E07C5">
        <w:rPr>
          <w:rFonts w:ascii="Times New Roman" w:hAnsi="Times New Roman"/>
          <w:sz w:val="28"/>
          <w:szCs w:val="28"/>
          <w:lang w:val="uk-UA"/>
        </w:rPr>
        <w:t xml:space="preserve">Належить зазначити, що згідно із статтями 19 і 25 Закону України «Про систему гарантування вкладів фізичних осіб» одним з джерел формування коштів Фонду у разі наявності ризику недостатності коштів Фонду є кошти державного бюджету (кредит або внесок держави на безповоротній основі), що </w:t>
      </w:r>
      <w:r w:rsidRPr="008E07C5">
        <w:rPr>
          <w:rFonts w:ascii="Times New Roman" w:hAnsi="Times New Roman"/>
          <w:sz w:val="28"/>
          <w:szCs w:val="28"/>
          <w:lang w:val="uk-UA"/>
        </w:rPr>
        <w:lastRenderedPageBreak/>
        <w:t>надається з метою забезпечення дотримання Фондом мінімального обсягу коштів.</w:t>
      </w:r>
    </w:p>
    <w:p w:rsidR="00FD7D54" w:rsidRPr="008E07C5" w:rsidRDefault="00FD7D54" w:rsidP="008135E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8E07C5">
        <w:rPr>
          <w:rFonts w:ascii="Times New Roman" w:hAnsi="Times New Roman"/>
          <w:sz w:val="28"/>
          <w:szCs w:val="28"/>
          <w:lang w:val="uk-UA"/>
        </w:rPr>
        <w:t xml:space="preserve">Згідно із статтею 17 Закону України «Про Державний бюджет України на 2020 рік» надано право Кабінету Міністрів України здійснювати випуски ОВДП понад обсяги в обмін на ці облігації векселів Фонду. </w:t>
      </w:r>
      <w:r w:rsidRPr="008E07C5">
        <w:rPr>
          <w:rFonts w:ascii="Times New Roman" w:hAnsi="Times New Roman"/>
          <w:sz w:val="28"/>
          <w:szCs w:val="28"/>
          <w:lang w:val="uk-UA"/>
        </w:rPr>
        <w:br/>
        <w:t>У 2014-2016 роках згідно з аналогічними нормами закону про державний бюджет на відповідний рік здій</w:t>
      </w:r>
      <w:r w:rsidR="00E8281F">
        <w:rPr>
          <w:rFonts w:ascii="Times New Roman" w:hAnsi="Times New Roman"/>
          <w:sz w:val="28"/>
          <w:szCs w:val="28"/>
          <w:lang w:val="uk-UA"/>
        </w:rPr>
        <w:t>с</w:t>
      </w:r>
      <w:r w:rsidRPr="008E07C5">
        <w:rPr>
          <w:rFonts w:ascii="Times New Roman" w:hAnsi="Times New Roman"/>
          <w:sz w:val="28"/>
          <w:szCs w:val="28"/>
          <w:lang w:val="uk-UA"/>
        </w:rPr>
        <w:t>нені такі операції загалом на суму 59,5 млрд грн. При цьому, у 2017-2019 роках такі операції не проводилися, а навпаки протягом 2018-2019 років Фонд достроково погасив векселі за такими операціями, здійсненими у 2014-2016 роках, загалом у сумі 10,1 млрд грн, а також у 2020 році Фондом планується достроково погасити відповідні векселі у сумі 2 млрд грн.</w:t>
      </w:r>
    </w:p>
    <w:p w:rsidR="00FD7D54" w:rsidRPr="008E07C5" w:rsidRDefault="00FD7D54" w:rsidP="008135E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8E07C5">
        <w:rPr>
          <w:rFonts w:ascii="Times New Roman" w:hAnsi="Times New Roman"/>
          <w:sz w:val="28"/>
          <w:szCs w:val="28"/>
          <w:lang w:val="uk-UA"/>
        </w:rPr>
        <w:t xml:space="preserve">Міністерство фінансів України у своєму експертному висновку зазначає, що реалізація положень законопроекту не має прямого впливу на доходну чи видаткову частину державного бюджету та не потребує додаткових видатків з державного бюджету. </w:t>
      </w:r>
    </w:p>
    <w:p w:rsidR="007635EF" w:rsidRPr="00FD7D54" w:rsidRDefault="00FD7D54" w:rsidP="008135E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8E07C5">
        <w:rPr>
          <w:rFonts w:ascii="Times New Roman" w:hAnsi="Times New Roman"/>
          <w:sz w:val="28"/>
          <w:szCs w:val="28"/>
          <w:lang w:val="uk-UA"/>
        </w:rPr>
        <w:t xml:space="preserve">За підсумками розгляду зазначеного законопроекту </w:t>
      </w:r>
      <w:r w:rsidR="00E14422">
        <w:rPr>
          <w:rFonts w:ascii="Times New Roman" w:hAnsi="Times New Roman"/>
          <w:sz w:val="28"/>
          <w:szCs w:val="28"/>
          <w:lang w:val="uk-UA"/>
        </w:rPr>
        <w:t xml:space="preserve">(реєстр. № 2571-3) </w:t>
      </w:r>
      <w:r w:rsidRPr="008E07C5">
        <w:rPr>
          <w:rFonts w:ascii="Times New Roman" w:hAnsi="Times New Roman"/>
          <w:sz w:val="28"/>
          <w:szCs w:val="28"/>
          <w:lang w:val="uk-UA"/>
        </w:rPr>
        <w:t>прийнято рішення: законопроект матиме опосередкований вплив на показники бюджету (може призвести до зміни показників надходжень і витрат державного бюджету, пов’язаних з діяльністю Фонду гарантування вкладів фізичних осіб, залежно від практики застосування даної законодавчої ініціативи). У разі прийняття відповідного закону він може набирати чинності згідно із законодавством</w:t>
      </w:r>
      <w:r w:rsidRPr="00FD7D54">
        <w:rPr>
          <w:rFonts w:ascii="Times New Roman" w:hAnsi="Times New Roman"/>
          <w:sz w:val="28"/>
          <w:szCs w:val="28"/>
        </w:rPr>
        <w:t>.</w:t>
      </w:r>
    </w:p>
    <w:p w:rsidR="007635EF" w:rsidRPr="007635EF" w:rsidRDefault="007635EF" w:rsidP="008135E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7635EF" w:rsidRPr="007635EF" w:rsidRDefault="007635EF" w:rsidP="008135E9">
      <w:pPr>
        <w:pStyle w:val="Igor"/>
        <w:spacing w:before="0" w:after="0"/>
        <w:rPr>
          <w:spacing w:val="0"/>
        </w:rPr>
      </w:pPr>
    </w:p>
    <w:p w:rsidR="007635EF" w:rsidRPr="007635EF" w:rsidRDefault="007635EF" w:rsidP="007A37F3">
      <w:pPr>
        <w:tabs>
          <w:tab w:val="left" w:pos="7088"/>
        </w:tabs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7635EF">
        <w:rPr>
          <w:rFonts w:ascii="Times New Roman" w:hAnsi="Times New Roman"/>
          <w:b/>
          <w:bCs/>
          <w:sz w:val="28"/>
          <w:szCs w:val="28"/>
          <w:lang w:val="uk-UA"/>
        </w:rPr>
        <w:t>Голова Комітету</w:t>
      </w:r>
      <w:r w:rsidRPr="007635EF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="007A37F3">
        <w:rPr>
          <w:rFonts w:ascii="Times New Roman" w:hAnsi="Times New Roman"/>
          <w:b/>
          <w:bCs/>
          <w:sz w:val="28"/>
          <w:szCs w:val="28"/>
          <w:lang w:val="uk-UA"/>
        </w:rPr>
        <w:t xml:space="preserve">          </w:t>
      </w:r>
      <w:r w:rsidRPr="007635EF">
        <w:rPr>
          <w:rFonts w:ascii="Times New Roman" w:hAnsi="Times New Roman"/>
          <w:b/>
          <w:bCs/>
          <w:sz w:val="28"/>
          <w:szCs w:val="28"/>
          <w:lang w:val="uk-UA"/>
        </w:rPr>
        <w:t>Ю.Ю. Арістов</w:t>
      </w:r>
    </w:p>
    <w:sectPr w:rsidR="007635EF" w:rsidRPr="007635EF" w:rsidSect="008135E9">
      <w:headerReference w:type="default" r:id="rId7"/>
      <w:headerReference w:type="first" r:id="rId8"/>
      <w:footerReference w:type="first" r:id="rId9"/>
      <w:pgSz w:w="11906" w:h="16838"/>
      <w:pgMar w:top="851" w:right="851" w:bottom="851" w:left="1418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6475" w:rsidRDefault="00696475" w:rsidP="005E306B">
      <w:pPr>
        <w:spacing w:after="0" w:line="240" w:lineRule="auto"/>
      </w:pPr>
      <w:r>
        <w:separator/>
      </w:r>
    </w:p>
  </w:endnote>
  <w:endnote w:type="continuationSeparator" w:id="0">
    <w:p w:rsidR="00696475" w:rsidRDefault="00696475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altName w:val="Arial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altName w:val="Cambria"/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696475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6475" w:rsidRDefault="00696475" w:rsidP="005E306B">
      <w:pPr>
        <w:spacing w:after="0" w:line="240" w:lineRule="auto"/>
      </w:pPr>
      <w:r>
        <w:separator/>
      </w:r>
    </w:p>
  </w:footnote>
  <w:footnote w:type="continuationSeparator" w:id="0">
    <w:p w:rsidR="00696475" w:rsidRDefault="00696475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1DD3" w:rsidRDefault="00F91DD3" w:rsidP="00071BD7">
    <w:pPr>
      <w:pStyle w:val="a3"/>
    </w:pPr>
  </w:p>
  <w:p w:rsidR="00071BD7" w:rsidRDefault="00071BD7" w:rsidP="00071BD7">
    <w:pPr>
      <w:pStyle w:val="a3"/>
    </w:pPr>
  </w:p>
  <w:p w:rsidR="00071BD7" w:rsidRDefault="00071BD7" w:rsidP="00071BD7">
    <w:pPr>
      <w:pStyle w:val="a3"/>
    </w:pPr>
  </w:p>
  <w:p w:rsidR="00071BD7" w:rsidRDefault="00071BD7" w:rsidP="00071BD7">
    <w:pPr>
      <w:pStyle w:val="a3"/>
    </w:pPr>
  </w:p>
  <w:p w:rsidR="00071BD7" w:rsidRDefault="00071BD7" w:rsidP="00071BD7">
    <w:pPr>
      <w:pStyle w:val="a3"/>
    </w:pPr>
  </w:p>
  <w:p w:rsidR="00071BD7" w:rsidRDefault="00071BD7" w:rsidP="00071BD7">
    <w:pPr>
      <w:pStyle w:val="a3"/>
    </w:pPr>
  </w:p>
  <w:p w:rsidR="00071BD7" w:rsidRDefault="00071BD7" w:rsidP="00071BD7">
    <w:pPr>
      <w:pStyle w:val="a3"/>
    </w:pPr>
  </w:p>
  <w:p w:rsidR="00071BD7" w:rsidRDefault="00071BD7" w:rsidP="00071BD7">
    <w:pPr>
      <w:pStyle w:val="a3"/>
    </w:pPr>
  </w:p>
  <w:p w:rsidR="00071BD7" w:rsidRDefault="00071BD7" w:rsidP="00071BD7">
    <w:pPr>
      <w:pStyle w:val="a3"/>
    </w:pPr>
  </w:p>
  <w:p w:rsidR="00071BD7" w:rsidRDefault="00071BD7" w:rsidP="00071BD7">
    <w:pPr>
      <w:pStyle w:val="a3"/>
    </w:pPr>
  </w:p>
  <w:p w:rsidR="00071BD7" w:rsidRDefault="00071BD7" w:rsidP="00071BD7">
    <w:pPr>
      <w:pStyle w:val="a3"/>
    </w:pPr>
  </w:p>
  <w:p w:rsidR="00071BD7" w:rsidRPr="00071BD7" w:rsidRDefault="00071BD7" w:rsidP="00071BD7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1591"/>
    <w:rsid w:val="000163C3"/>
    <w:rsid w:val="0004046F"/>
    <w:rsid w:val="00047398"/>
    <w:rsid w:val="0005542B"/>
    <w:rsid w:val="00071BD7"/>
    <w:rsid w:val="000F1586"/>
    <w:rsid w:val="00112854"/>
    <w:rsid w:val="00141617"/>
    <w:rsid w:val="0019108F"/>
    <w:rsid w:val="0019231B"/>
    <w:rsid w:val="001966F0"/>
    <w:rsid w:val="001C272B"/>
    <w:rsid w:val="001D3C24"/>
    <w:rsid w:val="0021032F"/>
    <w:rsid w:val="00235CD7"/>
    <w:rsid w:val="00252037"/>
    <w:rsid w:val="00270431"/>
    <w:rsid w:val="0029559F"/>
    <w:rsid w:val="002A5D4C"/>
    <w:rsid w:val="002B5FC1"/>
    <w:rsid w:val="002D0561"/>
    <w:rsid w:val="002E0A18"/>
    <w:rsid w:val="002E31BF"/>
    <w:rsid w:val="002E44DA"/>
    <w:rsid w:val="002E55DF"/>
    <w:rsid w:val="00302EAE"/>
    <w:rsid w:val="00373D8C"/>
    <w:rsid w:val="003910DE"/>
    <w:rsid w:val="003D0996"/>
    <w:rsid w:val="003D1CBA"/>
    <w:rsid w:val="00451750"/>
    <w:rsid w:val="004643DC"/>
    <w:rsid w:val="004717F5"/>
    <w:rsid w:val="004852FA"/>
    <w:rsid w:val="004C53C1"/>
    <w:rsid w:val="004E4F5C"/>
    <w:rsid w:val="004F7B8A"/>
    <w:rsid w:val="00500CE7"/>
    <w:rsid w:val="0050316A"/>
    <w:rsid w:val="0050620F"/>
    <w:rsid w:val="00521486"/>
    <w:rsid w:val="00545919"/>
    <w:rsid w:val="0055005A"/>
    <w:rsid w:val="0056039F"/>
    <w:rsid w:val="0056352F"/>
    <w:rsid w:val="00592C72"/>
    <w:rsid w:val="005A4728"/>
    <w:rsid w:val="005B71F5"/>
    <w:rsid w:val="005C2B98"/>
    <w:rsid w:val="005C674D"/>
    <w:rsid w:val="005E306B"/>
    <w:rsid w:val="005F20B5"/>
    <w:rsid w:val="00626A3E"/>
    <w:rsid w:val="00660B13"/>
    <w:rsid w:val="0066623D"/>
    <w:rsid w:val="00696475"/>
    <w:rsid w:val="006F10E8"/>
    <w:rsid w:val="00713E93"/>
    <w:rsid w:val="0073224C"/>
    <w:rsid w:val="007635EF"/>
    <w:rsid w:val="00764D72"/>
    <w:rsid w:val="00784296"/>
    <w:rsid w:val="007A0252"/>
    <w:rsid w:val="007A37F3"/>
    <w:rsid w:val="007B31A3"/>
    <w:rsid w:val="007D2B6C"/>
    <w:rsid w:val="007F1A56"/>
    <w:rsid w:val="007F3319"/>
    <w:rsid w:val="007F5D91"/>
    <w:rsid w:val="0080545D"/>
    <w:rsid w:val="00811821"/>
    <w:rsid w:val="008135E9"/>
    <w:rsid w:val="0084269F"/>
    <w:rsid w:val="008714FA"/>
    <w:rsid w:val="008D0011"/>
    <w:rsid w:val="008D7BBE"/>
    <w:rsid w:val="008E07C5"/>
    <w:rsid w:val="00945B68"/>
    <w:rsid w:val="00957D31"/>
    <w:rsid w:val="00972232"/>
    <w:rsid w:val="009865D4"/>
    <w:rsid w:val="0098734C"/>
    <w:rsid w:val="009A720A"/>
    <w:rsid w:val="009E1F5A"/>
    <w:rsid w:val="00A00059"/>
    <w:rsid w:val="00A1441E"/>
    <w:rsid w:val="00A60747"/>
    <w:rsid w:val="00A7635E"/>
    <w:rsid w:val="00A76A60"/>
    <w:rsid w:val="00A833C8"/>
    <w:rsid w:val="00AD7F82"/>
    <w:rsid w:val="00B311E8"/>
    <w:rsid w:val="00B60349"/>
    <w:rsid w:val="00B70DDD"/>
    <w:rsid w:val="00BA62CD"/>
    <w:rsid w:val="00BC3DC5"/>
    <w:rsid w:val="00BD0801"/>
    <w:rsid w:val="00BF1E95"/>
    <w:rsid w:val="00C11FB6"/>
    <w:rsid w:val="00C27AE9"/>
    <w:rsid w:val="00C434B6"/>
    <w:rsid w:val="00C86266"/>
    <w:rsid w:val="00C92F3D"/>
    <w:rsid w:val="00CA7044"/>
    <w:rsid w:val="00CC39A1"/>
    <w:rsid w:val="00CD4A38"/>
    <w:rsid w:val="00CE3E1B"/>
    <w:rsid w:val="00CE6A4B"/>
    <w:rsid w:val="00D22048"/>
    <w:rsid w:val="00D242C2"/>
    <w:rsid w:val="00D37FA2"/>
    <w:rsid w:val="00D52549"/>
    <w:rsid w:val="00D57E1B"/>
    <w:rsid w:val="00DF0115"/>
    <w:rsid w:val="00E14422"/>
    <w:rsid w:val="00E8281F"/>
    <w:rsid w:val="00EF229A"/>
    <w:rsid w:val="00F55423"/>
    <w:rsid w:val="00F91DD3"/>
    <w:rsid w:val="00FC3DF4"/>
    <w:rsid w:val="00FD7D54"/>
    <w:rsid w:val="00FF24F3"/>
    <w:rsid w:val="00FF3963"/>
    <w:rsid w:val="00FF7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0D131A6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customStyle="1" w:styleId="Igor">
    <w:name w:val="Igor"/>
    <w:basedOn w:val="a"/>
    <w:autoRedefine/>
    <w:rsid w:val="007635EF"/>
    <w:pPr>
      <w:spacing w:before="120" w:after="120" w:line="240" w:lineRule="auto"/>
      <w:ind w:firstLine="709"/>
      <w:jc w:val="both"/>
    </w:pPr>
    <w:rPr>
      <w:rFonts w:ascii="Times New Roman" w:eastAsia="Times New Roman" w:hAnsi="Times New Roman"/>
      <w:spacing w:val="-3"/>
      <w:sz w:val="28"/>
      <w:szCs w:val="28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79B6EE-4D43-436F-A063-4406CD6D78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2222</Words>
  <Characters>1267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Анна Валентинівна Пінчукова</cp:lastModifiedBy>
  <cp:revision>3</cp:revision>
  <cp:lastPrinted>2020-03-06T09:23:00Z</cp:lastPrinted>
  <dcterms:created xsi:type="dcterms:W3CDTF">2020-03-18T13:36:00Z</dcterms:created>
  <dcterms:modified xsi:type="dcterms:W3CDTF">2020-03-18T13:36:00Z</dcterms:modified>
</cp:coreProperties>
</file>