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A82" w:rsidRPr="002B0A82" w:rsidRDefault="002B0A82" w:rsidP="002B0A82">
      <w:pPr>
        <w:spacing w:after="0" w:line="240" w:lineRule="auto"/>
        <w:ind w:firstLine="709"/>
        <w:jc w:val="right"/>
        <w:rPr>
          <w:rFonts w:cs="Times New Roman"/>
          <w:szCs w:val="28"/>
        </w:rPr>
      </w:pPr>
      <w:r w:rsidRPr="002B0A82">
        <w:rPr>
          <w:rFonts w:cs="Times New Roman"/>
          <w:szCs w:val="28"/>
        </w:rPr>
        <w:t>Проект</w:t>
      </w:r>
    </w:p>
    <w:p w:rsidR="002B0A82" w:rsidRPr="002B0A82" w:rsidRDefault="002B0A82" w:rsidP="002B0A82">
      <w:pPr>
        <w:spacing w:after="0" w:line="240" w:lineRule="auto"/>
        <w:ind w:firstLine="709"/>
        <w:jc w:val="right"/>
        <w:rPr>
          <w:rFonts w:cs="Times New Roman"/>
          <w:szCs w:val="28"/>
        </w:rPr>
      </w:pPr>
      <w:r w:rsidRPr="002B0A82">
        <w:rPr>
          <w:rFonts w:cs="Times New Roman"/>
          <w:szCs w:val="28"/>
        </w:rPr>
        <w:t xml:space="preserve">вноситься народними </w:t>
      </w:r>
    </w:p>
    <w:p w:rsidR="002B0A82" w:rsidRPr="002B0A82" w:rsidRDefault="002B0A82" w:rsidP="002B0A82">
      <w:pPr>
        <w:spacing w:after="0" w:line="240" w:lineRule="auto"/>
        <w:ind w:firstLine="709"/>
        <w:jc w:val="right"/>
        <w:rPr>
          <w:rFonts w:cs="Times New Roman"/>
          <w:szCs w:val="28"/>
        </w:rPr>
      </w:pPr>
      <w:r w:rsidRPr="002B0A82">
        <w:rPr>
          <w:rFonts w:cs="Times New Roman"/>
          <w:szCs w:val="28"/>
        </w:rPr>
        <w:t>депутатами України</w:t>
      </w:r>
    </w:p>
    <w:p w:rsidR="002B0A82" w:rsidRPr="002B0A82" w:rsidRDefault="002B0A82" w:rsidP="002B0A82">
      <w:pPr>
        <w:spacing w:after="0" w:line="240" w:lineRule="auto"/>
        <w:ind w:firstLine="709"/>
        <w:jc w:val="both"/>
        <w:rPr>
          <w:rFonts w:cs="Times New Roman"/>
          <w:szCs w:val="28"/>
          <w:u w:val="single"/>
        </w:rPr>
      </w:pPr>
    </w:p>
    <w:tbl>
      <w:tblPr>
        <w:tblW w:w="0" w:type="dxa"/>
        <w:jc w:val="right"/>
        <w:tblLayout w:type="fixed"/>
        <w:tblCellMar>
          <w:left w:w="70" w:type="dxa"/>
          <w:right w:w="70" w:type="dxa"/>
        </w:tblCellMar>
        <w:tblLook w:val="04A0" w:firstRow="1" w:lastRow="0" w:firstColumn="1" w:lastColumn="0" w:noHBand="0" w:noVBand="1"/>
      </w:tblPr>
      <w:tblGrid>
        <w:gridCol w:w="4845"/>
      </w:tblGrid>
      <w:tr w:rsidR="00F25B01" w:rsidTr="00F25B01">
        <w:trPr>
          <w:jc w:val="right"/>
        </w:trPr>
        <w:tc>
          <w:tcPr>
            <w:tcW w:w="4845" w:type="dxa"/>
            <w:hideMark/>
          </w:tcPr>
          <w:p w:rsidR="00F25B01" w:rsidRDefault="00F25B01" w:rsidP="00F25B01">
            <w:pPr>
              <w:spacing w:after="0" w:line="240" w:lineRule="auto"/>
              <w:jc w:val="right"/>
              <w:rPr>
                <w:rFonts w:cs="Times New Roman"/>
                <w:b/>
                <w:color w:val="000000"/>
                <w:szCs w:val="28"/>
              </w:rPr>
            </w:pPr>
            <w:r>
              <w:rPr>
                <w:b/>
                <w:color w:val="000000"/>
                <w:szCs w:val="28"/>
              </w:rPr>
              <w:t>Порошенко П.О.</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Геращенко І.В.</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Климпуш-Цинцадзе І.О.</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Княжицький М.Л.</w:t>
            </w:r>
          </w:p>
        </w:tc>
      </w:tr>
      <w:tr w:rsidR="00F25B01" w:rsidTr="00F25B01">
        <w:trPr>
          <w:jc w:val="right"/>
        </w:trPr>
        <w:tc>
          <w:tcPr>
            <w:tcW w:w="4845" w:type="dxa"/>
            <w:hideMark/>
          </w:tcPr>
          <w:p w:rsidR="00F25B01" w:rsidRDefault="00F25B01" w:rsidP="00F25B01">
            <w:pPr>
              <w:pStyle w:val="1"/>
              <w:jc w:val="right"/>
              <w:rPr>
                <w:b/>
                <w:color w:val="000000"/>
                <w:szCs w:val="28"/>
              </w:rPr>
            </w:pPr>
            <w:r>
              <w:rPr>
                <w:b/>
                <w:color w:val="000000"/>
                <w:szCs w:val="28"/>
              </w:rPr>
              <w:t>Іонова М.М.</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Южаніна Н.П.</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Бондар М.Л.</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Сюмар В.П.</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Герасимов А.В.</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Павленко Р.М.</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Федина С.Р.</w:t>
            </w:r>
          </w:p>
        </w:tc>
      </w:tr>
      <w:tr w:rsidR="00F25B01" w:rsidTr="00F25B01">
        <w:trPr>
          <w:jc w:val="right"/>
        </w:trPr>
        <w:tc>
          <w:tcPr>
            <w:tcW w:w="4845" w:type="dxa"/>
            <w:hideMark/>
          </w:tcPr>
          <w:p w:rsidR="00F25B01" w:rsidRDefault="00F25B01" w:rsidP="00F25B01">
            <w:pPr>
              <w:spacing w:after="0" w:line="240" w:lineRule="auto"/>
              <w:jc w:val="right"/>
              <w:rPr>
                <w:b/>
                <w:color w:val="000000"/>
                <w:szCs w:val="28"/>
              </w:rPr>
            </w:pPr>
            <w:r>
              <w:rPr>
                <w:b/>
                <w:color w:val="000000"/>
                <w:szCs w:val="28"/>
              </w:rPr>
              <w:t>Гончаренко О.О.</w:t>
            </w:r>
          </w:p>
        </w:tc>
      </w:tr>
    </w:tbl>
    <w:p w:rsidR="002B0A82" w:rsidRDefault="002B0A82" w:rsidP="002B0A82">
      <w:pPr>
        <w:spacing w:after="0" w:line="240" w:lineRule="auto"/>
        <w:ind w:firstLine="709"/>
        <w:jc w:val="both"/>
        <w:rPr>
          <w:rFonts w:cs="Times New Roman"/>
          <w:szCs w:val="28"/>
          <w:u w:val="single"/>
        </w:rPr>
      </w:pPr>
    </w:p>
    <w:p w:rsidR="00D71189" w:rsidRDefault="00D71189" w:rsidP="002B0A82">
      <w:pPr>
        <w:spacing w:after="0" w:line="240" w:lineRule="auto"/>
        <w:ind w:firstLine="709"/>
        <w:jc w:val="both"/>
        <w:rPr>
          <w:rFonts w:cs="Times New Roman"/>
          <w:szCs w:val="28"/>
          <w:u w:val="single"/>
        </w:rPr>
      </w:pPr>
    </w:p>
    <w:p w:rsidR="002B0A82" w:rsidRPr="002B0A82" w:rsidRDefault="002B0A82" w:rsidP="00D71189">
      <w:pPr>
        <w:spacing w:after="0" w:line="240" w:lineRule="auto"/>
        <w:jc w:val="center"/>
        <w:rPr>
          <w:rFonts w:cs="Times New Roman"/>
          <w:b/>
          <w:szCs w:val="28"/>
        </w:rPr>
      </w:pPr>
      <w:bookmarkStart w:id="0" w:name="_GoBack"/>
      <w:bookmarkEnd w:id="0"/>
      <w:r w:rsidRPr="002B0A82">
        <w:rPr>
          <w:rFonts w:cs="Times New Roman"/>
          <w:b/>
          <w:szCs w:val="28"/>
        </w:rPr>
        <w:t>З А К О Н   У К Р А Ї Н И</w:t>
      </w:r>
    </w:p>
    <w:p w:rsidR="002B0A82" w:rsidRPr="002B0A82" w:rsidRDefault="002B0A82" w:rsidP="00D71189">
      <w:pPr>
        <w:spacing w:after="0" w:line="240" w:lineRule="auto"/>
        <w:jc w:val="center"/>
        <w:rPr>
          <w:rFonts w:cs="Times New Roman"/>
          <w:szCs w:val="28"/>
        </w:rPr>
      </w:pPr>
    </w:p>
    <w:p w:rsidR="002B0A82" w:rsidRPr="002B0A82" w:rsidRDefault="002B0A82" w:rsidP="00D71189">
      <w:pPr>
        <w:spacing w:after="0" w:line="240" w:lineRule="auto"/>
        <w:jc w:val="center"/>
        <w:rPr>
          <w:rFonts w:cs="Times New Roman"/>
          <w:b/>
          <w:szCs w:val="28"/>
        </w:rPr>
      </w:pPr>
      <w:r w:rsidRPr="002B0A82">
        <w:rPr>
          <w:rFonts w:cs="Times New Roman"/>
          <w:b/>
          <w:szCs w:val="28"/>
        </w:rPr>
        <w:t xml:space="preserve">Про внесення змін до Регламенту Верховної Ради України </w:t>
      </w:r>
    </w:p>
    <w:p w:rsidR="002B0A82" w:rsidRPr="002B0A82" w:rsidRDefault="002B0A82" w:rsidP="00D71189">
      <w:pPr>
        <w:spacing w:after="0" w:line="240" w:lineRule="auto"/>
        <w:jc w:val="center"/>
        <w:rPr>
          <w:rFonts w:cs="Times New Roman"/>
          <w:b/>
          <w:szCs w:val="28"/>
        </w:rPr>
      </w:pPr>
      <w:r w:rsidRPr="002B0A82">
        <w:rPr>
          <w:rFonts w:cs="Times New Roman"/>
          <w:b/>
          <w:szCs w:val="28"/>
        </w:rPr>
        <w:t>щодо удосконалення законодавчої процедури</w:t>
      </w:r>
    </w:p>
    <w:p w:rsidR="002B0A82" w:rsidRPr="002B0A82" w:rsidRDefault="002B0A82" w:rsidP="00D71189">
      <w:pPr>
        <w:spacing w:after="0" w:line="240" w:lineRule="auto"/>
        <w:jc w:val="center"/>
        <w:rPr>
          <w:rFonts w:cs="Times New Roman"/>
          <w:szCs w:val="28"/>
        </w:rPr>
      </w:pPr>
      <w:r w:rsidRPr="002B0A82">
        <w:rPr>
          <w:rFonts w:cs="Times New Roman"/>
          <w:szCs w:val="28"/>
        </w:rPr>
        <w:t>_________________________________________________</w:t>
      </w:r>
    </w:p>
    <w:p w:rsidR="002B0A82" w:rsidRPr="002B0A82" w:rsidRDefault="002B0A82"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 xml:space="preserve">Верховна Рада України </w:t>
      </w:r>
      <w:r w:rsidRPr="006D6EDA">
        <w:rPr>
          <w:rFonts w:cs="Times New Roman"/>
          <w:b/>
          <w:szCs w:val="28"/>
        </w:rPr>
        <w:t>п о с т а н о в л я є:</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І. Внести до Регламенту Верховної Ради України, затвердженого Законом України "Про Регламент Верховної Ради України" (Відомості Верховної Ради України, 2010 р., №№ 14-17, ст. 133 із наступними змінами) такі зміни:</w:t>
      </w:r>
    </w:p>
    <w:p w:rsidR="000F4241" w:rsidRDefault="000F4241"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1)  частину четверту статті 20 доповнити новим пунктом 7-1 такого змісту:</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"7-1) законопроекти, визначені відповідно до статті 101 цього Регламенту</w:t>
      </w:r>
      <w:r w:rsidRPr="006D6EDA">
        <w:rPr>
          <w:rFonts w:cs="Times New Roman"/>
          <w:b/>
          <w:szCs w:val="28"/>
        </w:rPr>
        <w:t xml:space="preserve"> </w:t>
      </w:r>
      <w:r w:rsidRPr="006D6EDA">
        <w:rPr>
          <w:rFonts w:cs="Times New Roman"/>
          <w:szCs w:val="28"/>
        </w:rPr>
        <w:t>як невідкладні";</w:t>
      </w:r>
    </w:p>
    <w:p w:rsidR="000F4241" w:rsidRDefault="000F4241"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2) частину третю статті 25 викласти в такій редакції:</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"3. У дні проведення пленарних засідань щотижня на початку ранкового пленарного засідання відводиться до 30 хвилин для стислих (до трьох хвилин): у вівторок - оголошень, заяв, повідомлень, пропозицій (крім тих, що вносяться у спеціально встановленому цим Регламентом порядку) від депутатських фракцій (депутатських груп); у середу - оголошень, заяв, повідомлень, пропозицій народних депутатів. У дні проведення пленарних засідань щотижня:</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1) у понеділок з 11 до 13 години відводиться час для засідання Погоджувальної ради депутатських фракцій (депутатських груп);</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 xml:space="preserve">2) у п'ятницю з 10 до 11 години відводиться час для запитань членам Кабінету Міністрів України ("година запитань до Уряду"), з 11  години відводиться час до 30 хвилин для стислих (до трьох хвилин) оголошень запитів і </w:t>
      </w:r>
      <w:r w:rsidRPr="006D6EDA">
        <w:rPr>
          <w:rFonts w:cs="Times New Roman"/>
          <w:szCs w:val="28"/>
        </w:rPr>
        <w:lastRenderedPageBreak/>
        <w:t>прийняття рішень про підтримку та направлення запитів, з 13 до 14 години відводиться час для виступів народних депутатів "з різних питань", а у п'ятницю третього тижня місяця з 11 години відводиться час для оголошення запитів і прийняття рішень про підтримку та направлення запитів, а також проводиться обговорення відповідей на запити за участю керівників та посадових осіб державних органів (крім органів судової влади), органів місцевого самоврядування, які відповідають на запити і запитання народних депутатів.";</w:t>
      </w:r>
    </w:p>
    <w:p w:rsidR="000F4241" w:rsidRDefault="000F4241"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3) частину першу статті 30 доповнити новим пунктом 2-1 такого змісту:</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"2-1) співдоповідь визначеного комітетом, до предмета відання якого належать питання європейської інтеграції, співдоповідача, якщо законопроект, проект іншого акта не відповідає зобов’язанням України у сфері європейської інтеграції, запитання співдоповідачу відповіді на них;»;</w:t>
      </w:r>
    </w:p>
    <w:p w:rsidR="006D6EDA" w:rsidRDefault="006D6EDA"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4) частину другу статті 31 доповнити новим пунктом 2-1 такого змісту:</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«2-1 ) виступ голови або представника від комітету, до предмета відання якого належать питання європейської інтеграції, якщо законопроект, проект іншого акта не відповідає зобов’язанням України у сфері європейської інтеграції;»;</w:t>
      </w:r>
    </w:p>
    <w:p w:rsidR="002B0A82" w:rsidRPr="006D6EDA" w:rsidRDefault="002B0A82"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5) частину шосту статті 48 викласти в такій редакції:</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"6. Одночасно суб'єкт права законодавчої ініціативи</w:t>
      </w:r>
      <w:r w:rsidRPr="006D6EDA">
        <w:rPr>
          <w:rFonts w:cs="Times New Roman"/>
          <w:b/>
          <w:szCs w:val="28"/>
        </w:rPr>
        <w:t xml:space="preserve"> </w:t>
      </w:r>
      <w:r w:rsidRPr="006D6EDA">
        <w:rPr>
          <w:rFonts w:cs="Times New Roman"/>
          <w:szCs w:val="28"/>
        </w:rPr>
        <w:t>вносить проект постанови Верховної Ради про скасування рішення Верховної Ради про прийняття закону, постанови чи іншого акта Верховної Ради в цілому.";</w:t>
      </w:r>
    </w:p>
    <w:p w:rsidR="002B0A82" w:rsidRPr="006D6EDA" w:rsidRDefault="002B0A82"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6) статтю 91 викласти в такій редакції:</w:t>
      </w:r>
    </w:p>
    <w:p w:rsidR="002B0A82" w:rsidRPr="006D6EDA" w:rsidRDefault="002B0A82" w:rsidP="00D71189">
      <w:pPr>
        <w:pStyle w:val="rvps2"/>
        <w:spacing w:before="0" w:beforeAutospacing="0" w:after="0" w:afterAutospacing="0"/>
        <w:ind w:firstLine="709"/>
        <w:jc w:val="both"/>
        <w:rPr>
          <w:sz w:val="28"/>
          <w:szCs w:val="28"/>
        </w:rPr>
      </w:pPr>
      <w:r w:rsidRPr="006D6EDA">
        <w:rPr>
          <w:rStyle w:val="rvts9"/>
          <w:sz w:val="28"/>
          <w:szCs w:val="28"/>
        </w:rPr>
        <w:t>«Стаття 91.</w:t>
      </w:r>
      <w:r w:rsidRPr="006D6EDA">
        <w:rPr>
          <w:sz w:val="28"/>
          <w:szCs w:val="28"/>
        </w:rPr>
        <w:t xml:space="preserve"> Супровідні документи до законопроекту, проекту іншого акта</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1. Законопроект, проект іншого акта вноситься на реєстрацію разом з проектом постанови, яку пропонується Верховній Раді прийняти за результатами його розгляду, списком авторів законопроекту, пропозицією щодо кандидатури доповідача на пленарному засіданні та пояснювальною запискою, яка має містити:</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1) обґрунтування необхідності прийняття законопроекту, цілей, завдань і основних його положень та місця в системі законодавства;</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2) обґрунтування очікуваних соціально-економічних, правових та інших наслідків застосування закону після його прийняття;</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3) інші відомості, необхідні для розгляду законопроекту.</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2. До кожного проекту закону додається висновок щодо його відповідності зобов’язанням України у сфері європейської інтеграції. Такий висновок повинен містити порівняльну таблицю, яка має відображати:</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зміст положень законопроекту;</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інформацію щодо відповідного зобов’язання України у</w:t>
      </w:r>
      <w:r w:rsidR="000F4241" w:rsidRPr="000F4241">
        <w:rPr>
          <w:rFonts w:cs="Times New Roman"/>
          <w:szCs w:val="28"/>
        </w:rPr>
        <w:t xml:space="preserve"> </w:t>
      </w:r>
      <w:r w:rsidRPr="006D6EDA">
        <w:rPr>
          <w:rFonts w:cs="Times New Roman"/>
          <w:szCs w:val="28"/>
        </w:rPr>
        <w:t>сфері європейської інтеграції;</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зміст положень акта права Європейського Союзу, наближення до якого є зобов’язанням України у сфері</w:t>
      </w:r>
      <w:r w:rsidR="000F4241" w:rsidRPr="000F4241">
        <w:rPr>
          <w:rFonts w:cs="Times New Roman"/>
          <w:szCs w:val="28"/>
          <w:lang w:val="ru-RU"/>
        </w:rPr>
        <w:t xml:space="preserve"> </w:t>
      </w:r>
      <w:r w:rsidRPr="006D6EDA">
        <w:rPr>
          <w:rFonts w:cs="Times New Roman"/>
          <w:szCs w:val="28"/>
        </w:rPr>
        <w:t>європейської інтеграції;</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lastRenderedPageBreak/>
        <w:t>обґрунтування ініціатора законопроекту щодо відповідності положень законопроекту зобов’язанню України у сфері європейської інтеграції.</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3. Для проектів законів, які вносяться до Верховної Ради Президентом України чи Кабінетом Міністрів висновки, зазначені в частині другій цієї статті, готує уповноважений центральний орган виконавчої влади у сфері євроінтеграції. Для проектів законів, які вносяться до Верховної Ради народними депутатами, такий висновок готують самі ініціатори законопроекту відповідно до Методичних рекомендацій щодо</w:t>
      </w:r>
      <w:r w:rsidR="000F4241" w:rsidRPr="000F4241">
        <w:rPr>
          <w:rFonts w:cs="Times New Roman"/>
          <w:szCs w:val="28"/>
          <w:lang w:val="ru-RU"/>
        </w:rPr>
        <w:t xml:space="preserve"> </w:t>
      </w:r>
      <w:r w:rsidRPr="006D6EDA">
        <w:rPr>
          <w:rFonts w:cs="Times New Roman"/>
          <w:szCs w:val="28"/>
        </w:rPr>
        <w:t>підготовки супровідних документів до законопроекту, проекту іншого акта, розробленого на виконання зобов’язань України у сфері європейської інтеграції, затверджених постановою Верховної Ради.</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4. Зазначені в частині першій цієї статті документи подаються письмово разом з їх електронним файлом.</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5. 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проекту іншого акта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Законопроект, проект іншого акта (крім проектів законів про Державний бюджет України, про внесення змін до закону про Державний бюджет України, про ратифікацію міжнародних договорів України щодо одержання Україною від іноземних держав, банків і міжнародних фінансових організацій позик, не передбачених Державним бюджетом України) не має містити положень, прийняття яких призведе до збільшення державного боргу і державних гарантій.</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6. Якщо реалізація законопроекту, проекту іншого акта не впливає на показники бюджету, про це зазначається в пояснювальній записці.</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7. У разі внесення законопроекту, остаточне прийняття рішення щодо якого можливе лише за результатами референдуму, ця обставина повинна бути зазначена у пояснювальній записці.</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8. До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нову його редакцію з урахуванням запропонованих змін.</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9. Якщо законопроект, проект іншого акта вноситься за погодженням з відповідними органами виконавчої чи судової влади, до нього додається таке погодження.»;</w:t>
      </w:r>
    </w:p>
    <w:p w:rsidR="002B0A82" w:rsidRPr="006D6EDA" w:rsidRDefault="002B0A82"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 xml:space="preserve">7) статтю 94 викласти в такій редакції: </w:t>
      </w:r>
    </w:p>
    <w:p w:rsidR="002B0A82" w:rsidRPr="006D6EDA" w:rsidRDefault="002B0A82" w:rsidP="00D71189">
      <w:pPr>
        <w:pStyle w:val="rvps2"/>
        <w:spacing w:before="0" w:beforeAutospacing="0" w:after="0" w:afterAutospacing="0"/>
        <w:ind w:firstLine="709"/>
        <w:jc w:val="both"/>
        <w:rPr>
          <w:sz w:val="28"/>
          <w:szCs w:val="28"/>
        </w:rPr>
      </w:pPr>
      <w:r w:rsidRPr="006D6EDA">
        <w:rPr>
          <w:rStyle w:val="rvts9"/>
          <w:sz w:val="28"/>
          <w:szCs w:val="28"/>
        </w:rPr>
        <w:t>«Стаття 94.</w:t>
      </w:r>
      <w:r w:rsidRPr="006D6EDA">
        <w:rPr>
          <w:sz w:val="28"/>
          <w:szCs w:val="28"/>
        </w:rPr>
        <w:t xml:space="preserve"> Повернення законопроекту, проекту іншого акта суб'єкту права законодавчої ініціативи</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lastRenderedPageBreak/>
        <w:t>1. Голова Верховної Ради України або відповідно до розподілу обов'язків Перший заступник, заступник Голови Верховної Ради України за наявності передбачених цією статтею підстав за пропозицією головного комітету чи тимчасової спеціальної комісії або Погоджувальної ради повертає внесений законопроект, проект іншого акта суб'єкту права законодавчої ініціативи без його включення до порядку денного сесії та розгляду на пленарному засіданні Верховної Ради.</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Голова Верховної Ради України або, відповідно до розподілу обов’язків, перший заступник, заступник Голови Верховної Ради України також повертає внесений законопроект, проект іншого акта суб’єкту права законодавчої ініціативи без його включення до порядку денного сесії та розгляду на пленарному засіданні Верховної Ради за пропозицією комітету, до предмета відання якого належать питання  європейської інтеграції, якщо наявна підстава, визначена пунктом 2-1 частини другої цієї статті.</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2. Підставами для повернення законопроекту, проекту іншого акта без його включення до порядку денного та розгляду на пленарному засіданні є:</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 xml:space="preserve">1) висновок комітету, до предмета відання якого належать питання конституційного права, про те, що законопроект суперечить положенням </w:t>
      </w:r>
      <w:hyperlink r:id="rId7" w:tgtFrame="_blank" w:history="1">
        <w:r w:rsidRPr="006D6EDA">
          <w:rPr>
            <w:rStyle w:val="a3"/>
            <w:color w:val="auto"/>
            <w:sz w:val="28"/>
            <w:szCs w:val="28"/>
            <w:u w:val="none"/>
          </w:rPr>
          <w:t>Конституції України</w:t>
        </w:r>
      </w:hyperlink>
      <w:r w:rsidRPr="006D6EDA">
        <w:rPr>
          <w:sz w:val="28"/>
          <w:szCs w:val="28"/>
        </w:rPr>
        <w:t>, крім випадків, коли він стосується внесення змін до Конституції України;</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2) висновок комітету, до предмета відання якого належать питання регламенту, про те, що внесений законопроект, проект іншого акта оформлений та/або зареєстрований без дотримання вимог закону, цього Регламенту та прийнятих відповідно до них нормативно-правових актів;</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 xml:space="preserve">2-1) висновок комітету, до предмета відання якого належать питання європейської інтеграції, про те, що законопроект не відповідає з </w:t>
      </w:r>
      <w:proofErr w:type="spellStart"/>
      <w:r w:rsidRPr="006D6EDA">
        <w:rPr>
          <w:sz w:val="28"/>
          <w:szCs w:val="28"/>
        </w:rPr>
        <w:t>обов’язанням</w:t>
      </w:r>
      <w:proofErr w:type="spellEnd"/>
      <w:r w:rsidRPr="006D6EDA">
        <w:rPr>
          <w:sz w:val="28"/>
          <w:szCs w:val="28"/>
        </w:rPr>
        <w:t xml:space="preserve"> України у сфері європейської інтеграції за умови, що суб’єктом законодавчої ініціативи не надано обґрунтування щодо необхідності відступлення від зобов’язань України у сфері європейської інтеграції;</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3) відсутність фінансово-економічного обґрунтування законопроекту, проекту іншого акта, якщо головний комітет чи відповідна тимчасова спеціальна комісія не вважають за можливе розглядати його без такого обґрунтування;</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4) наявність прийнятого в першому читанні законопроекту, щодо якого внесений проект є альтернативним;</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5) відхилення на поточній сесії Верховної Ради законопроекту, положення якого дослівно або по суті повторюють поданий законопроект.</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3. Повернення законопроекту, проекту іншого акта суб'єкту права законодавчої ініціативи здійснюється в 15-денний строк після отримання висновку головного комітету чи відповідної тимчасової спеціальної комісії з повідомленням про причину повернення.</w:t>
      </w:r>
    </w:p>
    <w:p w:rsidR="002B0A82" w:rsidRPr="006D6EDA" w:rsidRDefault="002B0A82" w:rsidP="00D71189">
      <w:pPr>
        <w:pStyle w:val="rvps2"/>
        <w:spacing w:before="0" w:beforeAutospacing="0" w:after="0" w:afterAutospacing="0"/>
        <w:ind w:firstLine="709"/>
        <w:jc w:val="both"/>
        <w:rPr>
          <w:sz w:val="28"/>
          <w:szCs w:val="28"/>
        </w:rPr>
      </w:pPr>
      <w:r w:rsidRPr="006D6EDA">
        <w:rPr>
          <w:sz w:val="28"/>
          <w:szCs w:val="28"/>
        </w:rPr>
        <w:t>4. Повернені законопроекти, проекти інших актів можуть бути повторно внесені на розгляд Верховної Ради за умови усунення недоліків, що стали підставою для їх повернення.»;</w:t>
      </w:r>
    </w:p>
    <w:p w:rsidR="002B0A82" w:rsidRPr="006D6EDA" w:rsidRDefault="002B0A82"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8) у статті 100</w:t>
      </w:r>
      <w:r w:rsidR="006D6EDA" w:rsidRPr="006D6EDA">
        <w:rPr>
          <w:rFonts w:cs="Times New Roman"/>
          <w:szCs w:val="28"/>
          <w:lang w:val="ru-RU"/>
        </w:rPr>
        <w:t xml:space="preserve"> </w:t>
      </w:r>
      <w:r w:rsidRPr="006D6EDA">
        <w:rPr>
          <w:rFonts w:cs="Times New Roman"/>
          <w:szCs w:val="28"/>
        </w:rPr>
        <w:t>частину першу і другу викласти в такій редакції:</w:t>
      </w:r>
    </w:p>
    <w:p w:rsidR="002B0A82" w:rsidRPr="006D6EDA" w:rsidRDefault="002B0A82" w:rsidP="00D71189">
      <w:pPr>
        <w:pStyle w:val="a4"/>
        <w:ind w:left="34" w:firstLine="709"/>
        <w:jc w:val="both"/>
        <w:rPr>
          <w:szCs w:val="28"/>
        </w:rPr>
      </w:pPr>
      <w:r w:rsidRPr="006D6EDA">
        <w:rPr>
          <w:szCs w:val="28"/>
        </w:rPr>
        <w:lastRenderedPageBreak/>
        <w:t>"</w:t>
      </w:r>
      <w:r w:rsidRPr="006D6EDA">
        <w:rPr>
          <w:szCs w:val="28"/>
          <w:lang w:val="uk-UA"/>
        </w:rPr>
        <w:t>1.</w:t>
      </w:r>
      <w:r w:rsidRPr="006D6EDA">
        <w:rPr>
          <w:szCs w:val="28"/>
        </w:rPr>
        <w:t xml:space="preserve"> </w:t>
      </w:r>
      <w:proofErr w:type="spellStart"/>
      <w:r w:rsidRPr="006D6EDA">
        <w:rPr>
          <w:szCs w:val="28"/>
        </w:rPr>
        <w:t>Альтернативними</w:t>
      </w:r>
      <w:proofErr w:type="spellEnd"/>
      <w:r w:rsidRPr="006D6EDA">
        <w:rPr>
          <w:szCs w:val="28"/>
        </w:rPr>
        <w:t xml:space="preserve"> </w:t>
      </w:r>
      <w:proofErr w:type="spellStart"/>
      <w:r w:rsidRPr="006D6EDA">
        <w:rPr>
          <w:szCs w:val="28"/>
        </w:rPr>
        <w:t>вважаються</w:t>
      </w:r>
      <w:proofErr w:type="spellEnd"/>
      <w:r w:rsidRPr="006D6EDA">
        <w:rPr>
          <w:szCs w:val="28"/>
        </w:rPr>
        <w:t xml:space="preserve"> </w:t>
      </w:r>
      <w:proofErr w:type="spellStart"/>
      <w:r w:rsidRPr="006D6EDA">
        <w:rPr>
          <w:szCs w:val="28"/>
        </w:rPr>
        <w:t>законопроекти</w:t>
      </w:r>
      <w:proofErr w:type="spellEnd"/>
      <w:r w:rsidRPr="006D6EDA">
        <w:rPr>
          <w:szCs w:val="28"/>
        </w:rPr>
        <w:t xml:space="preserve">, </w:t>
      </w:r>
      <w:proofErr w:type="spellStart"/>
      <w:r w:rsidRPr="006D6EDA">
        <w:rPr>
          <w:szCs w:val="28"/>
        </w:rPr>
        <w:t>які</w:t>
      </w:r>
      <w:proofErr w:type="spellEnd"/>
      <w:r w:rsidRPr="006D6EDA">
        <w:rPr>
          <w:szCs w:val="28"/>
        </w:rPr>
        <w:t xml:space="preserve"> </w:t>
      </w:r>
      <w:proofErr w:type="spellStart"/>
      <w:r w:rsidRPr="006D6EDA">
        <w:rPr>
          <w:szCs w:val="28"/>
        </w:rPr>
        <w:t>містять</w:t>
      </w:r>
      <w:proofErr w:type="spellEnd"/>
      <w:r w:rsidRPr="006D6EDA">
        <w:rPr>
          <w:szCs w:val="28"/>
        </w:rPr>
        <w:t xml:space="preserve"> </w:t>
      </w:r>
      <w:proofErr w:type="spellStart"/>
      <w:r w:rsidRPr="006D6EDA">
        <w:rPr>
          <w:szCs w:val="28"/>
        </w:rPr>
        <w:t>положення</w:t>
      </w:r>
      <w:proofErr w:type="spellEnd"/>
      <w:r w:rsidRPr="006D6EDA">
        <w:rPr>
          <w:szCs w:val="28"/>
        </w:rPr>
        <w:t xml:space="preserve">, </w:t>
      </w:r>
      <w:proofErr w:type="spellStart"/>
      <w:r w:rsidRPr="006D6EDA">
        <w:rPr>
          <w:szCs w:val="28"/>
        </w:rPr>
        <w:t>що</w:t>
      </w:r>
      <w:proofErr w:type="spellEnd"/>
      <w:r w:rsidRPr="006D6EDA">
        <w:rPr>
          <w:szCs w:val="28"/>
        </w:rPr>
        <w:t xml:space="preserve"> </w:t>
      </w:r>
      <w:proofErr w:type="spellStart"/>
      <w:r w:rsidRPr="006D6EDA">
        <w:rPr>
          <w:szCs w:val="28"/>
        </w:rPr>
        <w:t>по-різному</w:t>
      </w:r>
      <w:proofErr w:type="spellEnd"/>
      <w:r w:rsidRPr="006D6EDA">
        <w:rPr>
          <w:szCs w:val="28"/>
        </w:rPr>
        <w:t xml:space="preserve"> </w:t>
      </w:r>
      <w:proofErr w:type="spellStart"/>
      <w:r w:rsidRPr="006D6EDA">
        <w:rPr>
          <w:szCs w:val="28"/>
        </w:rPr>
        <w:t>регулюють</w:t>
      </w:r>
      <w:proofErr w:type="spellEnd"/>
      <w:r w:rsidRPr="006D6EDA">
        <w:rPr>
          <w:szCs w:val="28"/>
        </w:rPr>
        <w:t xml:space="preserve"> </w:t>
      </w:r>
      <w:proofErr w:type="spellStart"/>
      <w:r w:rsidRPr="006D6EDA">
        <w:rPr>
          <w:szCs w:val="28"/>
        </w:rPr>
        <w:t>однакове</w:t>
      </w:r>
      <w:proofErr w:type="spellEnd"/>
      <w:r w:rsidRPr="006D6EDA">
        <w:rPr>
          <w:szCs w:val="28"/>
        </w:rPr>
        <w:t xml:space="preserve"> коло </w:t>
      </w:r>
      <w:proofErr w:type="spellStart"/>
      <w:r w:rsidRPr="006D6EDA">
        <w:rPr>
          <w:szCs w:val="28"/>
        </w:rPr>
        <w:t>питань</w:t>
      </w:r>
      <w:proofErr w:type="spellEnd"/>
      <w:r w:rsidRPr="006D6EDA">
        <w:rPr>
          <w:szCs w:val="28"/>
        </w:rPr>
        <w:t>.</w:t>
      </w:r>
    </w:p>
    <w:p w:rsidR="002B0A82" w:rsidRPr="006D6EDA" w:rsidRDefault="002B0A82" w:rsidP="00D71189">
      <w:pPr>
        <w:pStyle w:val="a4"/>
        <w:numPr>
          <w:ilvl w:val="0"/>
          <w:numId w:val="2"/>
        </w:numPr>
        <w:tabs>
          <w:tab w:val="left" w:pos="318"/>
        </w:tabs>
        <w:ind w:left="35" w:firstLine="709"/>
        <w:jc w:val="both"/>
        <w:rPr>
          <w:szCs w:val="28"/>
        </w:rPr>
      </w:pPr>
      <w:proofErr w:type="spellStart"/>
      <w:r w:rsidRPr="006D6EDA">
        <w:rPr>
          <w:szCs w:val="28"/>
        </w:rPr>
        <w:t>Альтернативний</w:t>
      </w:r>
      <w:proofErr w:type="spellEnd"/>
      <w:r w:rsidRPr="006D6EDA">
        <w:rPr>
          <w:szCs w:val="28"/>
        </w:rPr>
        <w:t xml:space="preserve"> законопроект </w:t>
      </w:r>
      <w:proofErr w:type="spellStart"/>
      <w:r w:rsidRPr="006D6EDA">
        <w:rPr>
          <w:szCs w:val="28"/>
        </w:rPr>
        <w:t>може</w:t>
      </w:r>
      <w:proofErr w:type="spellEnd"/>
      <w:r w:rsidRPr="006D6EDA">
        <w:rPr>
          <w:szCs w:val="28"/>
        </w:rPr>
        <w:t xml:space="preserve"> бути внесений:</w:t>
      </w:r>
    </w:p>
    <w:p w:rsidR="002B0A82" w:rsidRPr="006D6EDA" w:rsidRDefault="002B0A82" w:rsidP="00D71189">
      <w:pPr>
        <w:pStyle w:val="a4"/>
        <w:numPr>
          <w:ilvl w:val="0"/>
          <w:numId w:val="1"/>
        </w:numPr>
        <w:tabs>
          <w:tab w:val="left" w:pos="318"/>
        </w:tabs>
        <w:ind w:left="35" w:firstLine="709"/>
        <w:jc w:val="both"/>
        <w:rPr>
          <w:szCs w:val="28"/>
          <w:lang w:val="uk-UA"/>
        </w:rPr>
      </w:pPr>
      <w:r w:rsidRPr="006D6EDA">
        <w:rPr>
          <w:szCs w:val="28"/>
          <w:lang w:val="uk-UA"/>
        </w:rPr>
        <w:t xml:space="preserve">до визначеного як невідкладний </w:t>
      </w:r>
    </w:p>
    <w:p w:rsidR="002B0A82" w:rsidRPr="006D6EDA" w:rsidRDefault="002B0A82" w:rsidP="00D71189">
      <w:pPr>
        <w:pStyle w:val="a4"/>
        <w:tabs>
          <w:tab w:val="left" w:pos="318"/>
        </w:tabs>
        <w:ind w:left="35" w:firstLine="709"/>
        <w:jc w:val="both"/>
        <w:rPr>
          <w:szCs w:val="28"/>
          <w:lang w:val="uk-UA"/>
        </w:rPr>
      </w:pPr>
      <w:r w:rsidRPr="006D6EDA">
        <w:rPr>
          <w:szCs w:val="28"/>
          <w:lang w:val="uk-UA"/>
        </w:rPr>
        <w:t>законопроекту – не пізніш як у 10-денний строк після дня надання народним депутатам такого законопроекту;</w:t>
      </w:r>
    </w:p>
    <w:p w:rsidR="002B0A82" w:rsidRPr="006D6EDA" w:rsidRDefault="002B0A82" w:rsidP="00D71189">
      <w:pPr>
        <w:pStyle w:val="a4"/>
        <w:numPr>
          <w:ilvl w:val="0"/>
          <w:numId w:val="1"/>
        </w:numPr>
        <w:tabs>
          <w:tab w:val="left" w:pos="318"/>
        </w:tabs>
        <w:ind w:left="35" w:firstLine="709"/>
        <w:jc w:val="both"/>
        <w:rPr>
          <w:szCs w:val="28"/>
        </w:rPr>
      </w:pPr>
      <w:r w:rsidRPr="006D6EDA">
        <w:rPr>
          <w:szCs w:val="28"/>
          <w:lang w:val="uk-UA"/>
        </w:rPr>
        <w:t>до іншого законопроекту – не пізніш як у 14-денний строк після дня надання народним депутатам першого законопроекту з відповідного питання.</w:t>
      </w:r>
      <w:r w:rsidRPr="006D6EDA">
        <w:rPr>
          <w:szCs w:val="28"/>
        </w:rPr>
        <w:t>";</w:t>
      </w:r>
    </w:p>
    <w:p w:rsidR="002B0A82" w:rsidRPr="006D6EDA" w:rsidRDefault="002B0A82" w:rsidP="00D71189">
      <w:pPr>
        <w:spacing w:after="0" w:line="240" w:lineRule="auto"/>
        <w:ind w:firstLine="709"/>
        <w:jc w:val="both"/>
        <w:rPr>
          <w:rFonts w:cs="Times New Roman"/>
          <w:szCs w:val="28"/>
          <w:lang w:val="ru-RU"/>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9) частину першу статті 116 викласти в такій редакції:</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"1.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Пропозиції і поправки до законопроекту, який готується до другого читання, вносяться:</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1) до визначеного як невідкладний законопроекту – в 10</w:t>
      </w:r>
      <w:r w:rsidRPr="006D6EDA">
        <w:rPr>
          <w:rFonts w:cs="Times New Roman"/>
          <w:szCs w:val="28"/>
        </w:rPr>
        <w:noBreakHyphen/>
        <w:t>денний строк після дня прийняття законопроекту за основу;</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2) до іншого законопроекту – в 14-денний строк після дня прийняття законопроекту за основу.</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До повторного другого читання законопроекту лише до тих розділів, глав, статей, їх частин, пунктів, підпунктів, абзаців, речень законопроекту, що не були прийняті у другому читанні, пропозиції і поправки вносяться:</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1) до визначеного як невідкладний законопроекту – в 10</w:t>
      </w:r>
      <w:r w:rsidRPr="006D6EDA">
        <w:rPr>
          <w:rFonts w:cs="Times New Roman"/>
          <w:szCs w:val="28"/>
        </w:rPr>
        <w:noBreakHyphen/>
        <w:t>денний строк після дня попереднього другого читання;</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 xml:space="preserve">2) до іншого законопроекту – в 14-денний строк після дня попереднього другого читання. </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Пропозиції і поправки до законопроектів, розгляд яких не було завершено Верховною Радою попереднього скликання (частина друга статті 106 цього Регламенту), вносяться в 14-денний строк після дня включення їх до порядку денного першої сесії новообраної Верховної Ради.";</w:t>
      </w:r>
    </w:p>
    <w:p w:rsidR="002B0A82" w:rsidRPr="006D6EDA" w:rsidRDefault="002B0A82" w:rsidP="00D71189">
      <w:pPr>
        <w:spacing w:after="0" w:line="240" w:lineRule="auto"/>
        <w:ind w:firstLine="709"/>
        <w:jc w:val="both"/>
        <w:rPr>
          <w:rFonts w:cs="Times New Roman"/>
          <w:szCs w:val="28"/>
        </w:rPr>
      </w:pP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t>1</w:t>
      </w:r>
      <w:r w:rsidR="00D71189" w:rsidRPr="00D71189">
        <w:rPr>
          <w:rFonts w:cs="Times New Roman"/>
          <w:szCs w:val="28"/>
          <w:lang w:val="ru-RU"/>
        </w:rPr>
        <w:t>0</w:t>
      </w:r>
      <w:r w:rsidRPr="006D6EDA">
        <w:rPr>
          <w:rFonts w:cs="Times New Roman"/>
          <w:szCs w:val="28"/>
        </w:rPr>
        <w:t>) у статті 120 частини другу і третю викласти в такій редакції:</w:t>
      </w:r>
    </w:p>
    <w:p w:rsidR="002B0A82" w:rsidRPr="006D6EDA" w:rsidRDefault="002B0A82" w:rsidP="00D71189">
      <w:pPr>
        <w:spacing w:after="0" w:line="240" w:lineRule="auto"/>
        <w:ind w:firstLine="709"/>
        <w:jc w:val="both"/>
        <w:rPr>
          <w:rFonts w:cs="Times New Roman"/>
          <w:b/>
          <w:szCs w:val="28"/>
        </w:rPr>
      </w:pPr>
      <w:r w:rsidRPr="006D6EDA">
        <w:rPr>
          <w:rFonts w:cs="Times New Roman"/>
          <w:szCs w:val="28"/>
        </w:rPr>
        <w:t xml:space="preserve">"2. За наполяганням ініціатора внесення - суб'єкта права законодавчої ініціативи може бути проведено обговорення відхилених головним комітетом внесених цим суб’єктом права законодавчої ініціативи пропозицій, поправок, що стосуються цих статей. </w:t>
      </w:r>
    </w:p>
    <w:p w:rsidR="002B0A82" w:rsidRPr="006D6EDA" w:rsidRDefault="002B0A82" w:rsidP="00D71189">
      <w:pPr>
        <w:spacing w:after="0" w:line="240" w:lineRule="auto"/>
        <w:ind w:firstLine="709"/>
        <w:jc w:val="both"/>
        <w:rPr>
          <w:rFonts w:cs="Times New Roman"/>
          <w:szCs w:val="28"/>
        </w:rPr>
      </w:pPr>
      <w:r w:rsidRPr="006D6EDA">
        <w:rPr>
          <w:rFonts w:cs="Times New Roman"/>
          <w:szCs w:val="28"/>
        </w:rPr>
        <w:lastRenderedPageBreak/>
        <w:t>3. За наполяганням народних депутатів у кількості не меншій, ніж чисельність членів найменшої депутатської фракції (депутатської групи) може бути проведено обговорення врахованої головним комітетом пропозиції, поправки з наступним голосуванням щодо її прийняття, виключення в цілому чи її частини. У такому ж порядку може бути порушено питання про розгляд пропозиції, поправки до відповідного тексту статті законопроекту, прийнятого в першому читанні, але відсутньої у запропонованій головним комітетом редакції.".</w:t>
      </w:r>
    </w:p>
    <w:p w:rsidR="002B0A82" w:rsidRPr="002B0A82" w:rsidRDefault="002B0A82" w:rsidP="00D71189">
      <w:pPr>
        <w:spacing w:after="0" w:line="240" w:lineRule="auto"/>
        <w:ind w:firstLine="709"/>
        <w:jc w:val="both"/>
        <w:rPr>
          <w:rFonts w:cs="Times New Roman"/>
          <w:szCs w:val="28"/>
        </w:rPr>
      </w:pPr>
    </w:p>
    <w:p w:rsidR="002B0A82" w:rsidRPr="002B0A82" w:rsidRDefault="002B0A82" w:rsidP="00D71189">
      <w:pPr>
        <w:spacing w:after="0" w:line="240" w:lineRule="auto"/>
        <w:ind w:firstLine="709"/>
        <w:jc w:val="both"/>
        <w:rPr>
          <w:rFonts w:cs="Times New Roman"/>
          <w:szCs w:val="28"/>
        </w:rPr>
      </w:pPr>
      <w:r w:rsidRPr="002B0A82">
        <w:rPr>
          <w:rFonts w:cs="Times New Roman"/>
          <w:szCs w:val="28"/>
        </w:rPr>
        <w:t>II. Цей Закон набирає чинності з дня, наступного за днем його опублікування.</w:t>
      </w:r>
    </w:p>
    <w:p w:rsidR="002B0A82" w:rsidRPr="002B0A82" w:rsidRDefault="002B0A82" w:rsidP="00D71189">
      <w:pPr>
        <w:spacing w:after="0" w:line="240" w:lineRule="auto"/>
        <w:jc w:val="both"/>
        <w:rPr>
          <w:rFonts w:cs="Times New Roman"/>
          <w:szCs w:val="28"/>
        </w:rPr>
      </w:pPr>
    </w:p>
    <w:p w:rsidR="002B0A82" w:rsidRPr="002B0A82" w:rsidRDefault="002B0A82" w:rsidP="00D71189">
      <w:pPr>
        <w:tabs>
          <w:tab w:val="left" w:pos="7513"/>
        </w:tabs>
        <w:spacing w:after="0" w:line="240" w:lineRule="auto"/>
        <w:jc w:val="center"/>
        <w:rPr>
          <w:rFonts w:cs="Times New Roman"/>
          <w:b/>
          <w:szCs w:val="28"/>
        </w:rPr>
      </w:pPr>
      <w:r w:rsidRPr="002B0A82">
        <w:rPr>
          <w:rFonts w:cs="Times New Roman"/>
          <w:b/>
          <w:szCs w:val="28"/>
        </w:rPr>
        <w:t xml:space="preserve">Голова </w:t>
      </w:r>
      <w:r w:rsidRPr="002B0A82">
        <w:rPr>
          <w:rFonts w:cs="Times New Roman"/>
          <w:b/>
          <w:szCs w:val="28"/>
        </w:rPr>
        <w:br/>
        <w:t>Верховної Ради України</w:t>
      </w:r>
    </w:p>
    <w:p w:rsidR="005F4F61" w:rsidRDefault="005F4F61" w:rsidP="00D71189">
      <w:pPr>
        <w:spacing w:after="0" w:line="240" w:lineRule="auto"/>
      </w:pPr>
    </w:p>
    <w:sectPr w:rsidR="005F4F61">
      <w:foot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2BE" w:rsidRDefault="007862BE" w:rsidP="002B0A82">
      <w:pPr>
        <w:spacing w:after="0" w:line="240" w:lineRule="auto"/>
      </w:pPr>
      <w:r>
        <w:separator/>
      </w:r>
    </w:p>
  </w:endnote>
  <w:endnote w:type="continuationSeparator" w:id="0">
    <w:p w:rsidR="007862BE" w:rsidRDefault="007862BE" w:rsidP="002B0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678255"/>
      <w:docPartObj>
        <w:docPartGallery w:val="Page Numbers (Bottom of Page)"/>
        <w:docPartUnique/>
      </w:docPartObj>
    </w:sdtPr>
    <w:sdtEndPr/>
    <w:sdtContent>
      <w:p w:rsidR="002B0A82" w:rsidRDefault="002B0A82">
        <w:pPr>
          <w:pStyle w:val="a7"/>
          <w:jc w:val="center"/>
        </w:pPr>
        <w:r>
          <w:fldChar w:fldCharType="begin"/>
        </w:r>
        <w:r>
          <w:instrText>PAGE   \* MERGEFORMAT</w:instrText>
        </w:r>
        <w:r>
          <w:fldChar w:fldCharType="separate"/>
        </w:r>
        <w:r w:rsidR="00F25B01">
          <w:rPr>
            <w:noProof/>
          </w:rPr>
          <w:t>4</w:t>
        </w:r>
        <w:r>
          <w:fldChar w:fldCharType="end"/>
        </w:r>
      </w:p>
    </w:sdtContent>
  </w:sdt>
  <w:p w:rsidR="002B0A82" w:rsidRDefault="002B0A8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2BE" w:rsidRDefault="007862BE" w:rsidP="002B0A82">
      <w:pPr>
        <w:spacing w:after="0" w:line="240" w:lineRule="auto"/>
      </w:pPr>
      <w:r>
        <w:separator/>
      </w:r>
    </w:p>
  </w:footnote>
  <w:footnote w:type="continuationSeparator" w:id="0">
    <w:p w:rsidR="007862BE" w:rsidRDefault="007862BE" w:rsidP="002B0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3209F5"/>
    <w:multiLevelType w:val="hybridMultilevel"/>
    <w:tmpl w:val="7AC0A79E"/>
    <w:lvl w:ilvl="0" w:tplc="8612E2D4">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 w15:restartNumberingAfterBreak="0">
    <w:nsid w:val="690F22C4"/>
    <w:multiLevelType w:val="hybridMultilevel"/>
    <w:tmpl w:val="FC0026A6"/>
    <w:lvl w:ilvl="0" w:tplc="B06CB1AE">
      <w:start w:val="2"/>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A82"/>
    <w:rsid w:val="000F4241"/>
    <w:rsid w:val="002B0A82"/>
    <w:rsid w:val="00343E7D"/>
    <w:rsid w:val="005F4F61"/>
    <w:rsid w:val="006D6EDA"/>
    <w:rsid w:val="007862BE"/>
    <w:rsid w:val="00D71189"/>
    <w:rsid w:val="00F25B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F0A742-3FE9-491A-B092-9CCB313FC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0A82"/>
    <w:rPr>
      <w:rFonts w:ascii="Times New Roman" w:eastAsia="Times New Roman" w:hAnsi="Times New Roman" w:cs="Calibri"/>
      <w:sz w:val="28"/>
    </w:rPr>
  </w:style>
  <w:style w:type="paragraph" w:styleId="1">
    <w:name w:val="heading 1"/>
    <w:basedOn w:val="a"/>
    <w:next w:val="a"/>
    <w:link w:val="10"/>
    <w:qFormat/>
    <w:rsid w:val="00F25B01"/>
    <w:pPr>
      <w:keepNext/>
      <w:spacing w:after="0" w:line="240" w:lineRule="auto"/>
      <w:outlineLvl w:val="0"/>
    </w:pPr>
    <w:rPr>
      <w:rFonts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B0A82"/>
    <w:pPr>
      <w:spacing w:before="100" w:beforeAutospacing="1" w:after="100" w:afterAutospacing="1" w:line="240" w:lineRule="auto"/>
    </w:pPr>
    <w:rPr>
      <w:rFonts w:cs="Times New Roman"/>
      <w:sz w:val="24"/>
      <w:szCs w:val="24"/>
      <w:lang w:eastAsia="uk-UA"/>
    </w:rPr>
  </w:style>
  <w:style w:type="character" w:customStyle="1" w:styleId="rvts9">
    <w:name w:val="rvts9"/>
    <w:basedOn w:val="a0"/>
    <w:rsid w:val="002B0A82"/>
  </w:style>
  <w:style w:type="character" w:styleId="a3">
    <w:name w:val="Hyperlink"/>
    <w:basedOn w:val="a0"/>
    <w:uiPriority w:val="99"/>
    <w:semiHidden/>
    <w:unhideWhenUsed/>
    <w:rsid w:val="002B0A82"/>
    <w:rPr>
      <w:color w:val="0000FF"/>
      <w:u w:val="single"/>
    </w:rPr>
  </w:style>
  <w:style w:type="paragraph" w:styleId="a4">
    <w:name w:val="List Paragraph"/>
    <w:basedOn w:val="a"/>
    <w:uiPriority w:val="34"/>
    <w:qFormat/>
    <w:rsid w:val="002B0A82"/>
    <w:pPr>
      <w:spacing w:after="0" w:line="240" w:lineRule="auto"/>
      <w:ind w:left="720"/>
      <w:contextualSpacing/>
    </w:pPr>
    <w:rPr>
      <w:rFonts w:cs="Times New Roman"/>
      <w:szCs w:val="24"/>
      <w:lang w:val="ru-RU" w:eastAsia="ru-RU"/>
    </w:rPr>
  </w:style>
  <w:style w:type="paragraph" w:styleId="a5">
    <w:name w:val="header"/>
    <w:basedOn w:val="a"/>
    <w:link w:val="a6"/>
    <w:uiPriority w:val="99"/>
    <w:unhideWhenUsed/>
    <w:rsid w:val="002B0A82"/>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2B0A82"/>
    <w:rPr>
      <w:rFonts w:ascii="Times New Roman" w:eastAsia="Times New Roman" w:hAnsi="Times New Roman" w:cs="Calibri"/>
      <w:sz w:val="28"/>
    </w:rPr>
  </w:style>
  <w:style w:type="paragraph" w:styleId="a7">
    <w:name w:val="footer"/>
    <w:basedOn w:val="a"/>
    <w:link w:val="a8"/>
    <w:uiPriority w:val="99"/>
    <w:unhideWhenUsed/>
    <w:rsid w:val="002B0A82"/>
    <w:pPr>
      <w:tabs>
        <w:tab w:val="center" w:pos="4819"/>
        <w:tab w:val="right" w:pos="9639"/>
      </w:tabs>
      <w:spacing w:after="0" w:line="240" w:lineRule="auto"/>
    </w:pPr>
  </w:style>
  <w:style w:type="character" w:customStyle="1" w:styleId="a8">
    <w:name w:val="Нижній колонтитул Знак"/>
    <w:basedOn w:val="a0"/>
    <w:link w:val="a7"/>
    <w:uiPriority w:val="99"/>
    <w:rsid w:val="002B0A82"/>
    <w:rPr>
      <w:rFonts w:ascii="Times New Roman" w:eastAsia="Times New Roman" w:hAnsi="Times New Roman" w:cs="Calibri"/>
      <w:sz w:val="28"/>
    </w:rPr>
  </w:style>
  <w:style w:type="character" w:customStyle="1" w:styleId="10">
    <w:name w:val="Заголовок 1 Знак"/>
    <w:basedOn w:val="a0"/>
    <w:link w:val="1"/>
    <w:rsid w:val="00F25B01"/>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0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on.rada.gov.ua/rada/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8403</Words>
  <Characters>4791</Characters>
  <Application>Microsoft Office Word</Application>
  <DocSecurity>0</DocSecurity>
  <Lines>39</Lines>
  <Paragraphs>26</Paragraphs>
  <ScaleCrop>false</ScaleCrop>
  <Company/>
  <LinksUpToDate>false</LinksUpToDate>
  <CharactersWithSpaces>13168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Іонова Марія Миколаївна</dc:creator>
  <cp:keywords/>
  <dc:description/>
  <cp:lastModifiedBy>Головатенко Анатолій Степанович</cp:lastModifiedBy>
  <cp:revision>5</cp:revision>
  <dcterms:created xsi:type="dcterms:W3CDTF">2020-01-10T09:23:00Z</dcterms:created>
  <dcterms:modified xsi:type="dcterms:W3CDTF">2020-01-10T14:28:00Z</dcterms:modified>
</cp:coreProperties>
</file>