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  <w:bookmarkStart w:id="0" w:name="_GoBack"/>
      <w:bookmarkEnd w:id="0"/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highlight w:val="yellow"/>
          <w:lang w:eastAsia="ru-RU"/>
        </w:rPr>
      </w:pPr>
    </w:p>
    <w:p w:rsidR="002827F2" w:rsidRDefault="002827F2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827F2" w:rsidRDefault="002827F2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331FE8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331FE8" w:rsidRDefault="004270FC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на проект Закону України «Про </w:t>
      </w:r>
      <w:r w:rsidR="00331FE8" w:rsidRPr="00331FE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внесення змін до Податкового </w:t>
      </w:r>
    </w:p>
    <w:p w:rsidR="00331FE8" w:rsidRP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331FE8">
        <w:rPr>
          <w:rFonts w:ascii="Times New Roman" w:eastAsia="Times New Roman" w:hAnsi="Times New Roman"/>
          <w:b/>
          <w:sz w:val="28"/>
          <w:szCs w:val="24"/>
          <w:lang w:eastAsia="ru-RU"/>
        </w:rPr>
        <w:t>кодексу України щодо оподаткування доходів від організації та проведення азартних ігор»</w:t>
      </w:r>
    </w:p>
    <w:p w:rsidR="00331FE8" w:rsidRDefault="00331FE8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C71D7" w:rsidRPr="00331FE8" w:rsidRDefault="003C71D7" w:rsidP="00331FE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E1BBF" w:rsidRDefault="00331FE8" w:rsidP="00AE1B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31FE8">
        <w:rPr>
          <w:rFonts w:ascii="Times New Roman" w:eastAsia="Times New Roman" w:hAnsi="Times New Roman"/>
          <w:sz w:val="28"/>
          <w:szCs w:val="24"/>
          <w:lang w:eastAsia="ru-RU"/>
        </w:rPr>
        <w:t>У законопроект</w:t>
      </w:r>
      <w:r w:rsidRPr="00AE1BBF">
        <w:rPr>
          <w:rFonts w:ascii="Times New Roman" w:eastAsia="Times New Roman" w:hAnsi="Times New Roman"/>
          <w:sz w:val="28"/>
          <w:szCs w:val="24"/>
          <w:lang w:eastAsia="ru-RU"/>
        </w:rPr>
        <w:t>і шляхом внесення змін до Податкового кодексу України (далі</w:t>
      </w:r>
      <w:r w:rsidR="0056624F" w:rsidRPr="00AE1BB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E1BBF" w:rsidRPr="00AE1BBF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Pr="00AE1BBF">
        <w:rPr>
          <w:rFonts w:ascii="Times New Roman" w:eastAsia="Times New Roman" w:hAnsi="Times New Roman"/>
          <w:sz w:val="28"/>
          <w:szCs w:val="24"/>
          <w:lang w:eastAsia="ru-RU"/>
        </w:rPr>
        <w:t xml:space="preserve"> ПК) удосконалюються деякі питання оподаткування азартних ігор.  Зокрема, пропонується </w:t>
      </w:r>
      <w:r w:rsidR="00AE1BBF" w:rsidRPr="00AE1BBF">
        <w:rPr>
          <w:rFonts w:ascii="Times New Roman" w:eastAsia="Times New Roman" w:hAnsi="Times New Roman"/>
          <w:sz w:val="28"/>
          <w:szCs w:val="24"/>
          <w:lang w:eastAsia="ru-RU"/>
        </w:rPr>
        <w:t>встановити, що п</w:t>
      </w:r>
      <w:r w:rsidR="00AE1BBF" w:rsidRPr="00AE1BBF">
        <w:rPr>
          <w:rFonts w:ascii="Times New Roman" w:hAnsi="Times New Roman"/>
          <w:color w:val="000000"/>
          <w:sz w:val="28"/>
          <w:szCs w:val="28"/>
        </w:rPr>
        <w:t>ід час провадження діяльності з організації та проведення азартних ігор ставка податку на дохід встановлюється у розмірі:</w:t>
      </w:r>
      <w:r w:rsidR="00AE1B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E1BBF" w:rsidRPr="00AE1BBF">
        <w:rPr>
          <w:rFonts w:ascii="Times New Roman" w:hAnsi="Times New Roman"/>
          <w:color w:val="000000"/>
          <w:sz w:val="28"/>
          <w:szCs w:val="28"/>
        </w:rPr>
        <w:t xml:space="preserve">7,5 </w:t>
      </w:r>
      <w:r w:rsidR="00AE1BBF">
        <w:rPr>
          <w:rFonts w:ascii="Times New Roman" w:hAnsi="Times New Roman"/>
          <w:color w:val="000000"/>
          <w:sz w:val="28"/>
          <w:szCs w:val="28"/>
        </w:rPr>
        <w:t xml:space="preserve">% </w:t>
      </w:r>
      <w:r w:rsidR="00AE1BBF" w:rsidRPr="00AE1BBF">
        <w:rPr>
          <w:rFonts w:ascii="Times New Roman" w:hAnsi="Times New Roman"/>
          <w:color w:val="000000"/>
          <w:sz w:val="28"/>
          <w:szCs w:val="28"/>
        </w:rPr>
        <w:t xml:space="preserve">від доходу, отриманого від організації та проведення букмекерської діяльності; 12,5 </w:t>
      </w:r>
      <w:r w:rsidR="00AE1BBF">
        <w:rPr>
          <w:rFonts w:ascii="Times New Roman" w:hAnsi="Times New Roman"/>
          <w:color w:val="000000"/>
          <w:sz w:val="28"/>
          <w:szCs w:val="28"/>
        </w:rPr>
        <w:t xml:space="preserve">% </w:t>
      </w:r>
      <w:r w:rsidR="00AE1BBF" w:rsidRPr="00AE1BBF">
        <w:rPr>
          <w:rFonts w:ascii="Times New Roman" w:hAnsi="Times New Roman"/>
          <w:color w:val="000000"/>
          <w:sz w:val="28"/>
          <w:szCs w:val="28"/>
        </w:rPr>
        <w:t xml:space="preserve">від доходу отриманого від  діяльності з організації та проведення азартних ігор в казино через мережу Інтернет, діяльності з організації та проведення азартних ігор в залах гральних автоматів та гральних автоматів з гральних закладах казино; 22 </w:t>
      </w:r>
      <w:r w:rsidR="00AE1BBF">
        <w:rPr>
          <w:rFonts w:ascii="Times New Roman" w:hAnsi="Times New Roman"/>
          <w:color w:val="000000"/>
          <w:sz w:val="28"/>
          <w:szCs w:val="28"/>
        </w:rPr>
        <w:t xml:space="preserve">% </w:t>
      </w:r>
      <w:r w:rsidR="00AE1BBF" w:rsidRPr="00AE1BBF">
        <w:rPr>
          <w:rFonts w:ascii="Times New Roman" w:hAnsi="Times New Roman"/>
          <w:color w:val="000000"/>
          <w:sz w:val="28"/>
          <w:szCs w:val="28"/>
        </w:rPr>
        <w:t>від доходу від діяльності з організації та проведення лотерей.</w:t>
      </w:r>
      <w:r w:rsidR="00AE1B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E1BBF" w:rsidRPr="00AE1BBF">
        <w:rPr>
          <w:rFonts w:ascii="Times New Roman" w:hAnsi="Times New Roman"/>
          <w:color w:val="000000"/>
          <w:sz w:val="28"/>
          <w:szCs w:val="28"/>
        </w:rPr>
        <w:t xml:space="preserve">Згідно з чинними нормами така ставка встановлюється у розмірі: </w:t>
      </w:r>
      <w:bookmarkStart w:id="1" w:name="n10649"/>
      <w:bookmarkEnd w:id="1"/>
      <w:r w:rsidR="00AE1BBF" w:rsidRPr="00AE1BBF">
        <w:rPr>
          <w:rFonts w:ascii="Times New Roman" w:hAnsi="Times New Roman"/>
          <w:color w:val="000000"/>
          <w:sz w:val="28"/>
          <w:szCs w:val="28"/>
        </w:rPr>
        <w:t xml:space="preserve">10 відсотків від доходу, отриманого від азартних ігор з використанням гральних автоматів; </w:t>
      </w:r>
      <w:bookmarkStart w:id="2" w:name="n10650"/>
      <w:bookmarkEnd w:id="2"/>
      <w:r w:rsidR="00AE1BBF" w:rsidRPr="00AE1BBF">
        <w:rPr>
          <w:rFonts w:ascii="Times New Roman" w:hAnsi="Times New Roman"/>
          <w:color w:val="000000"/>
          <w:sz w:val="28"/>
          <w:szCs w:val="28"/>
        </w:rPr>
        <w:t>18 відсотків від доходу, отриманого від букмекерської діяльності, азартних ігор (у тому числі казино), крім доходу, отриманого від азартних ігор з використанням гральних автоматів, зменшеного на суму виплачених виплат гравцю.</w:t>
      </w:r>
      <w:bookmarkStart w:id="3" w:name="n14314"/>
      <w:bookmarkStart w:id="4" w:name="n10651"/>
      <w:bookmarkEnd w:id="3"/>
      <w:bookmarkEnd w:id="4"/>
    </w:p>
    <w:p w:rsidR="00331FE8" w:rsidRPr="00331FE8" w:rsidRDefault="00AE1BBF" w:rsidP="00331F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Також пропонується звільнити в</w:t>
      </w:r>
      <w:r w:rsidR="00331FE8" w:rsidRPr="00331FE8">
        <w:rPr>
          <w:rFonts w:ascii="Times New Roman" w:eastAsia="Times New Roman" w:hAnsi="Times New Roman"/>
          <w:sz w:val="28"/>
          <w:szCs w:val="24"/>
          <w:lang w:eastAsia="ru-RU"/>
        </w:rPr>
        <w:t>ід оподаткування податком на доходи фізичних осіб суму виграшів в азартних іграх.</w:t>
      </w:r>
    </w:p>
    <w:p w:rsidR="0056624F" w:rsidRDefault="0056624F" w:rsidP="005662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pacing w:val="-6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За змістом</w:t>
      </w:r>
      <w:r w:rsidR="00331FE8" w:rsidRPr="00331FE8">
        <w:rPr>
          <w:rFonts w:ascii="Times New Roman" w:eastAsia="Times New Roman" w:hAnsi="Times New Roman"/>
          <w:sz w:val="28"/>
          <w:szCs w:val="28"/>
          <w:lang w:eastAsia="uk-UA"/>
        </w:rPr>
        <w:t xml:space="preserve"> пояснювальної записки до проекту </w:t>
      </w:r>
      <w:r w:rsidR="00361A54">
        <w:rPr>
          <w:rFonts w:ascii="Times New Roman" w:eastAsia="Times New Roman" w:hAnsi="Times New Roman"/>
          <w:sz w:val="28"/>
          <w:szCs w:val="28"/>
          <w:lang w:eastAsia="uk-UA"/>
        </w:rPr>
        <w:t>удосконалення питань оподаткування азартних ігор</w:t>
      </w:r>
      <w:r w:rsidR="00361A54">
        <w:rPr>
          <w:rFonts w:ascii="Times New Roman" w:hAnsi="Times New Roman"/>
          <w:spacing w:val="-6"/>
          <w:sz w:val="28"/>
          <w:szCs w:val="28"/>
        </w:rPr>
        <w:t xml:space="preserve"> «</w:t>
      </w:r>
      <w:r>
        <w:rPr>
          <w:rFonts w:ascii="Times New Roman" w:hAnsi="Times New Roman"/>
          <w:spacing w:val="-6"/>
          <w:sz w:val="28"/>
          <w:szCs w:val="28"/>
        </w:rPr>
        <w:t>забезпечить досягнення оптимального балансу між інтересами суспільства, учасників ринку та держави і створить умови для наповнення Державного бюджету додатковими надходженнями</w:t>
      </w:r>
      <w:r w:rsidR="00361A54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31FE8" w:rsidRPr="00331FE8" w:rsidRDefault="008D0570" w:rsidP="00331FE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8D0570">
        <w:rPr>
          <w:rFonts w:ascii="Times New Roman" w:eastAsia="Times New Roman" w:hAnsi="Times New Roman"/>
          <w:sz w:val="28"/>
          <w:szCs w:val="28"/>
          <w:lang w:eastAsia="uk-UA"/>
        </w:rPr>
        <w:t>Головне управління, розглянувши проект, вважає за доцільне висло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вити щодо нього такі міркування</w:t>
      </w:r>
      <w:r w:rsidR="00331FE8" w:rsidRPr="00331FE8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734781" w:rsidRDefault="00734781" w:rsidP="007347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t xml:space="preserve">У проекті, на наш погляд, слід уточнити предмет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його </w:t>
      </w: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t xml:space="preserve">регулювання.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Так, </w:t>
      </w: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t xml:space="preserve">за змістом назви проекту,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його предметом </w:t>
      </w: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t>є оподаткування доходу від азартних ігор. Натомість, за змістом окремих приписів проекту, наприклад, нового пп. 14.1.271</w:t>
      </w:r>
      <w:r w:rsidRPr="006E0B28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t xml:space="preserve"> п. 14.1 ст. 14, оновленого пп. 134.1.4 п. 134.1 ст. 134 ПК тощо, поняття «азартна гра» та «лотерея» розмежовуються, що, відповідним чином, передбачає і відмінність в об’єкті оподаткування. Одночасно </w:t>
      </w: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зауважимо, що у проекті Закону України «Про державне регулювання діяльності щодо організації та проведення азартних ігор» (реєстр. №</w:t>
      </w:r>
      <w:r w:rsidRPr="00EE267D">
        <w:t xml:space="preserve"> </w:t>
      </w:r>
      <w:r w:rsidRPr="006E0B28">
        <w:rPr>
          <w:rFonts w:ascii="Times New Roman" w:eastAsia="Times New Roman" w:hAnsi="Times New Roman"/>
          <w:sz w:val="28"/>
          <w:szCs w:val="28"/>
          <w:lang w:eastAsia="uk-UA"/>
        </w:rPr>
        <w:t>2285-д від 18.12.2019),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з яким внесений законопроект системно пов’язаний (див., наприклад, новий п. 14.3 ст. 14 ПК), лотерея визначається як масова азартна гра.</w:t>
      </w:r>
    </w:p>
    <w:p w:rsidR="0047568A" w:rsidRPr="006E0B28" w:rsidRDefault="0047568A" w:rsidP="0047568A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У цьому ж контексті звертаємо увагу на зміст припису оновленого          пп. «е» пп. 14.1.11 п. 14.1 ст. 14 ПК, згідно з яким однією з ознак кваліфікації заборгованості як безнадійної є «частина призового (виграшного) фонду лотереї, що станом на 31 грудня відповідного року залишилась незапитаною з будь-яких причин </w:t>
      </w:r>
      <w:r w:rsidR="00207F08">
        <w:rPr>
          <w:rFonts w:ascii="Times New Roman" w:eastAsia="Times New Roman" w:hAnsi="Times New Roman"/>
          <w:sz w:val="28"/>
          <w:szCs w:val="28"/>
          <w:lang w:eastAsia="uk-UA"/>
        </w:rPr>
        <w:t>переможцями у встановлений умовами проведення лотереї строк (термін)», якому</w:t>
      </w:r>
      <w:r w:rsidR="001E29C0">
        <w:rPr>
          <w:rFonts w:ascii="Times New Roman" w:eastAsia="Times New Roman" w:hAnsi="Times New Roman"/>
          <w:sz w:val="28"/>
          <w:szCs w:val="28"/>
          <w:lang w:eastAsia="uk-UA"/>
        </w:rPr>
        <w:t>, на наш погляд,</w:t>
      </w:r>
      <w:r w:rsidR="00207F08">
        <w:rPr>
          <w:rFonts w:ascii="Times New Roman" w:eastAsia="Times New Roman" w:hAnsi="Times New Roman"/>
          <w:sz w:val="28"/>
          <w:szCs w:val="28"/>
          <w:lang w:eastAsia="uk-UA"/>
        </w:rPr>
        <w:t xml:space="preserve"> властива внутрішня суперечність. Так, конструкція «частина призового (виграшного) фонду лотереї» виглядає некоректною при її розгляді у системному зв’язку з визначеннями понять «виграш» (новий пп. 14.1.278 п. 14.1 ст. 14 ПК) та «приз» (новий пп. 14.1.279 п. 14.1 ст. 14 ПК). Адже за змістом, зокрема, поняття «виграш» воно стосується одночасно </w:t>
      </w:r>
      <w:r w:rsidR="00207F08" w:rsidRPr="00917FBE">
        <w:rPr>
          <w:rFonts w:ascii="Times New Roman" w:eastAsia="Times New Roman" w:hAnsi="Times New Roman"/>
          <w:i/>
          <w:sz w:val="28"/>
          <w:szCs w:val="28"/>
          <w:lang w:eastAsia="uk-UA"/>
        </w:rPr>
        <w:t>азартних ігор</w:t>
      </w:r>
      <w:r w:rsidR="00207F08">
        <w:rPr>
          <w:rFonts w:ascii="Times New Roman" w:eastAsia="Times New Roman" w:hAnsi="Times New Roman"/>
          <w:sz w:val="28"/>
          <w:szCs w:val="28"/>
          <w:lang w:eastAsia="uk-UA"/>
        </w:rPr>
        <w:t xml:space="preserve"> та лотерей, на відміну від поняття «приз», яке застосовується лише щодо «розіграшів або спортивних змагань (у тому числі аматорських)»</w:t>
      </w:r>
      <w:r w:rsidR="001E29C0">
        <w:rPr>
          <w:rFonts w:ascii="Times New Roman" w:eastAsia="Times New Roman" w:hAnsi="Times New Roman"/>
          <w:sz w:val="28"/>
          <w:szCs w:val="28"/>
          <w:lang w:eastAsia="uk-UA"/>
        </w:rPr>
        <w:t xml:space="preserve"> та не має відношення ні до азартних ігор, ані до лотерей.</w:t>
      </w:r>
    </w:p>
    <w:p w:rsidR="00734781" w:rsidRPr="002F48EB" w:rsidRDefault="00734781" w:rsidP="007347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Вважаємо н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 xml:space="preserve">едоцільним дублювання </w:t>
      </w:r>
      <w:r w:rsidRPr="00565F92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 xml:space="preserve"> тексті ПК термінології, яка не має спеціального значення для цілей оподаткування</w:t>
      </w:r>
      <w:r w:rsidRPr="00565F92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r w:rsidR="0001216B">
        <w:rPr>
          <w:rFonts w:ascii="Times New Roman" w:eastAsia="Times New Roman" w:hAnsi="Times New Roman"/>
          <w:sz w:val="28"/>
          <w:szCs w:val="28"/>
          <w:lang w:eastAsia="uk-UA"/>
        </w:rPr>
        <w:t xml:space="preserve">міститься у 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>спеціальних законодавчих актах, які регулюють відносини у відповідній сфері</w:t>
      </w:r>
      <w:r w:rsidRPr="00565F92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 xml:space="preserve"> та повторює їх за своїм змістом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(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>н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априклад, такі як виграш, приз –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пп.</w:t>
      </w:r>
      <w:r w:rsidRPr="00565F92">
        <w:rPr>
          <w:rFonts w:ascii="Times New Roman" w:eastAsia="Times New Roman" w:hAnsi="Times New Roman"/>
          <w:sz w:val="28"/>
          <w:szCs w:val="28"/>
          <w:lang w:eastAsia="uk-UA"/>
        </w:rPr>
        <w:t>пп.</w:t>
      </w:r>
      <w:r>
        <w:rPr>
          <w:rFonts w:ascii="Times New Roman" w:eastAsia="Times New Roman" w:hAnsi="Times New Roman"/>
          <w:sz w:val="28"/>
          <w:szCs w:val="28"/>
          <w:lang w:val="ru-RU" w:eastAsia="uk-UA"/>
        </w:rPr>
        <w:t> </w:t>
      </w:r>
      <w:r w:rsidRPr="008975F7">
        <w:rPr>
          <w:rFonts w:ascii="Times New Roman" w:eastAsia="Times New Roman" w:hAnsi="Times New Roman"/>
          <w:sz w:val="28"/>
          <w:szCs w:val="28"/>
          <w:lang w:eastAsia="uk-UA"/>
        </w:rPr>
        <w:t>14.1.27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8, 14.1.279 п. 14.1 ст. 14 ПК).</w:t>
      </w:r>
    </w:p>
    <w:p w:rsidR="0082773D" w:rsidRDefault="0082773D" w:rsidP="0082773D">
      <w:pPr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проекті відсутнє належне обґрунтування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розмірів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пропонованих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податкових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ставок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82773D" w:rsidRDefault="0082773D" w:rsidP="0082773D">
      <w:pPr>
        <w:tabs>
          <w:tab w:val="left" w:pos="851"/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цьому контексті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також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зауважимо, що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оскільки азартні ігри зазвичай мают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ь негативний соціальний ефект,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тому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державна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податков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 політик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цій  сфері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, на наш погляд,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має бути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орієнтована на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обмеження «споживання» азартних ігор громадянами, зокрема, шляхом застосуван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ня підвищених податкових ставок щодо отриманих від них доходів порівняно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з іншими видами діяльності,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встановлення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додаткових відрахувань на соціальні проекти з грального бізнесу, збільшення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на цій основі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вартості по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слуг, а відтак, зниження доступності азартних ігор для громадян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тощо.</w:t>
      </w:r>
    </w:p>
    <w:p w:rsidR="0082773D" w:rsidRDefault="0082773D" w:rsidP="0082773D">
      <w:pPr>
        <w:tabs>
          <w:tab w:val="left" w:pos="851"/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Зауважимо також, що скасування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оподаткування доходів громадян від азартних ігор,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серед іншого,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містить 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>ризик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легалізації доходів, отриманих злочи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нним шляхом,</w:t>
      </w:r>
      <w:r w:rsidRPr="002F48EB">
        <w:rPr>
          <w:rFonts w:ascii="Times New Roman" w:eastAsia="Times New Roman" w:hAnsi="Times New Roman"/>
          <w:sz w:val="28"/>
          <w:szCs w:val="28"/>
          <w:lang w:eastAsia="uk-UA"/>
        </w:rPr>
        <w:t xml:space="preserve"> «мінімізації» податкових платежів.</w:t>
      </w:r>
    </w:p>
    <w:p w:rsidR="0082773D" w:rsidRDefault="0082773D" w:rsidP="0082773D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82773D">
        <w:rPr>
          <w:rFonts w:ascii="Times New Roman" w:eastAsia="Times New Roman" w:hAnsi="Times New Roman"/>
          <w:sz w:val="28"/>
          <w:szCs w:val="28"/>
          <w:lang w:eastAsia="uk-UA"/>
        </w:rPr>
        <w:t>Виходячи з вимог ст. 116 Конституції України, згідно з якою Кабінет Міністрів України забезпечує проведення податкової політики, щодо внесеного законопроекту доцільно отримати висновок Уряду.</w:t>
      </w:r>
    </w:p>
    <w:p w:rsidR="00C6562B" w:rsidRDefault="0082773D" w:rsidP="00C6562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6562B">
        <w:rPr>
          <w:rFonts w:ascii="Times New Roman" w:eastAsia="Times New Roman" w:hAnsi="Times New Roman"/>
          <w:sz w:val="28"/>
          <w:szCs w:val="28"/>
          <w:lang w:eastAsia="uk-UA"/>
        </w:rPr>
        <w:t>Звертаємо увагу, що на сьогодні в Україні заборонено гральний бізнес та участь в  азартних іграх відповідно до Закону України «Про заборону грального бізнесу в Україні».</w:t>
      </w:r>
      <w:r w:rsidRPr="00C6562B">
        <w:rPr>
          <w:rFonts w:ascii="Times New Roman" w:eastAsia="Times New Roman" w:hAnsi="Times New Roman"/>
          <w:sz w:val="28"/>
          <w:szCs w:val="28"/>
          <w:lang w:eastAsia="uk-UA"/>
        </w:rPr>
        <w:tab/>
        <w:t xml:space="preserve">Визнати вказаний Закон таким, що втратив чинність, пропонується проектом Закону України «Про державне регулювання діяльності щодо організації та проведення азартних ігор» </w:t>
      </w:r>
      <w:r w:rsidRPr="00C6562B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(реєстр. №</w:t>
      </w:r>
      <w:r w:rsidRPr="00EE267D">
        <w:t xml:space="preserve"> </w:t>
      </w:r>
      <w:r w:rsidRPr="00C6562B">
        <w:rPr>
          <w:rFonts w:ascii="Times New Roman" w:eastAsia="Times New Roman" w:hAnsi="Times New Roman"/>
          <w:sz w:val="28"/>
          <w:szCs w:val="28"/>
          <w:lang w:eastAsia="uk-UA"/>
        </w:rPr>
        <w:t>2285-д від 18.12.2019), який лише прийнятий Верховною Радою України у першому читанні. Тому рішення щодо внесеного проекту слід приймати за результатами розгляду проекту реєстр. № 2285-д, у тому числі з метою коректного застосування термінології та</w:t>
      </w:r>
      <w:r w:rsidR="00C7484C" w:rsidRPr="00C6562B">
        <w:rPr>
          <w:rFonts w:ascii="Times New Roman" w:eastAsia="Times New Roman" w:hAnsi="Times New Roman"/>
          <w:sz w:val="28"/>
          <w:szCs w:val="28"/>
          <w:lang w:eastAsia="uk-UA"/>
        </w:rPr>
        <w:t>, відповідно,</w:t>
      </w:r>
      <w:r w:rsidRPr="00C6562B">
        <w:rPr>
          <w:rFonts w:ascii="Times New Roman" w:eastAsia="Times New Roman" w:hAnsi="Times New Roman"/>
          <w:sz w:val="28"/>
          <w:szCs w:val="28"/>
          <w:lang w:eastAsia="uk-UA"/>
        </w:rPr>
        <w:t xml:space="preserve"> забезпечення повноти регулювання відповідних суспільних відносин. </w:t>
      </w:r>
      <w:r w:rsidR="00C6562B">
        <w:rPr>
          <w:rFonts w:ascii="Times New Roman" w:eastAsia="Times New Roman" w:hAnsi="Times New Roman"/>
          <w:sz w:val="28"/>
          <w:szCs w:val="28"/>
          <w:lang w:eastAsia="uk-UA"/>
        </w:rPr>
        <w:t>Відповідно вбачається доцільним у п. 1 розділу ІІ проекту встановити, що Закон, проект якого розглядається, набирає чинності з дня набрання чинності Законом України «Про державне регулювання діяльності щодо організації та проведення азартних ігор».</w:t>
      </w:r>
    </w:p>
    <w:p w:rsidR="003C71D7" w:rsidRDefault="003C71D7" w:rsidP="00C6562B">
      <w:pPr>
        <w:tabs>
          <w:tab w:val="left" w:pos="993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6562B" w:rsidRPr="000D7D4E" w:rsidRDefault="00C6562B" w:rsidP="00C6562B">
      <w:pPr>
        <w:tabs>
          <w:tab w:val="left" w:pos="993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54347" w:rsidRPr="000D7D4E" w:rsidRDefault="00354347" w:rsidP="003543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0D7D4E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    С. Тихонюк</w:t>
      </w:r>
    </w:p>
    <w:p w:rsidR="00354347" w:rsidRPr="000D7D4E" w:rsidRDefault="00354347" w:rsidP="003543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54347" w:rsidRPr="000D7D4E" w:rsidRDefault="00354347" w:rsidP="003543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54347" w:rsidRPr="000D7D4E" w:rsidRDefault="00354347" w:rsidP="003543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r w:rsidRPr="000D7D4E">
        <w:rPr>
          <w:rFonts w:ascii="Times New Roman" w:eastAsia="Times New Roman" w:hAnsi="Times New Roman"/>
          <w:sz w:val="20"/>
          <w:szCs w:val="20"/>
          <w:lang w:eastAsia="uk-UA"/>
        </w:rPr>
        <w:t>Вик.: Є. Гришко</w:t>
      </w:r>
    </w:p>
    <w:p w:rsidR="00331FE8" w:rsidRPr="00331FE8" w:rsidRDefault="00331FE8" w:rsidP="00354347">
      <w:pPr>
        <w:pStyle w:val="a7"/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31FE8" w:rsidRPr="00331FE8" w:rsidRDefault="00331FE8" w:rsidP="00331FE8">
      <w:pPr>
        <w:spacing w:line="259" w:lineRule="auto"/>
      </w:pPr>
    </w:p>
    <w:p w:rsidR="00E3467E" w:rsidRPr="00331FE8" w:rsidRDefault="00E3467E" w:rsidP="00331FE8"/>
    <w:sectPr w:rsidR="00E3467E" w:rsidRPr="00331FE8" w:rsidSect="0056624F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054" w:rsidRDefault="002B6054" w:rsidP="00331FE8">
      <w:pPr>
        <w:spacing w:after="0" w:line="240" w:lineRule="auto"/>
      </w:pPr>
      <w:r>
        <w:separator/>
      </w:r>
    </w:p>
  </w:endnote>
  <w:endnote w:type="continuationSeparator" w:id="0">
    <w:p w:rsidR="002B6054" w:rsidRDefault="002B6054" w:rsidP="00331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054" w:rsidRDefault="002B6054" w:rsidP="00331FE8">
      <w:pPr>
        <w:spacing w:after="0" w:line="240" w:lineRule="auto"/>
      </w:pPr>
      <w:r>
        <w:separator/>
      </w:r>
    </w:p>
  </w:footnote>
  <w:footnote w:type="continuationSeparator" w:id="0">
    <w:p w:rsidR="002B6054" w:rsidRDefault="002B6054" w:rsidP="00331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24F" w:rsidRDefault="0056624F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BF2BF8">
      <w:rPr>
        <w:noProof/>
      </w:rPr>
      <w:t>3</w:t>
    </w:r>
    <w:r>
      <w:rPr>
        <w:noProof/>
      </w:rPr>
      <w:fldChar w:fldCharType="end"/>
    </w:r>
  </w:p>
  <w:p w:rsidR="0056624F" w:rsidRDefault="0056624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24F" w:rsidRPr="00674188" w:rsidRDefault="0056624F" w:rsidP="0056624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 w:rsidR="008229E9"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331FE8" w:rsidRPr="00331FE8">
      <w:rPr>
        <w:rFonts w:ascii="Times New Roman" w:eastAsia="Times New Roman" w:hAnsi="Times New Roman"/>
        <w:sz w:val="20"/>
        <w:szCs w:val="20"/>
        <w:lang w:eastAsia="ru-RU"/>
      </w:rPr>
      <w:t>2713-1 від 13.01.2020</w:t>
    </w:r>
  </w:p>
  <w:p w:rsidR="0056624F" w:rsidRDefault="0056624F" w:rsidP="0056624F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331FE8">
      <w:rPr>
        <w:rFonts w:ascii="Times New Roman" w:eastAsia="Times New Roman" w:hAnsi="Times New Roman"/>
        <w:sz w:val="20"/>
        <w:szCs w:val="20"/>
        <w:lang w:val="ru-RU" w:eastAsia="ru-RU"/>
      </w:rPr>
      <w:t>ий</w:t>
    </w:r>
    <w:r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>депутат України</w:t>
    </w:r>
  </w:p>
  <w:p w:rsidR="0056624F" w:rsidRPr="00AE3A22" w:rsidRDefault="00331FE8" w:rsidP="0056624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Д. Наталуха</w:t>
    </w:r>
    <w:r w:rsidR="0056624F" w:rsidRPr="00017DB2">
      <w:rPr>
        <w:rFonts w:ascii="Times New Roman" w:eastAsia="Times New Roman" w:hAnsi="Times New Roman"/>
        <w:sz w:val="20"/>
        <w:szCs w:val="20"/>
        <w:lang w:eastAsia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992342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8F30AE9"/>
    <w:multiLevelType w:val="multilevel"/>
    <w:tmpl w:val="528A0A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" w15:restartNumberingAfterBreak="0">
    <w:nsid w:val="73AD1145"/>
    <w:multiLevelType w:val="multilevel"/>
    <w:tmpl w:val="528A0A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77"/>
    <w:rsid w:val="0001216B"/>
    <w:rsid w:val="00095FD7"/>
    <w:rsid w:val="001C2841"/>
    <w:rsid w:val="001E29C0"/>
    <w:rsid w:val="00207F08"/>
    <w:rsid w:val="00250C3C"/>
    <w:rsid w:val="002827F2"/>
    <w:rsid w:val="00295277"/>
    <w:rsid w:val="002B6054"/>
    <w:rsid w:val="00311DC0"/>
    <w:rsid w:val="00331FE8"/>
    <w:rsid w:val="00354347"/>
    <w:rsid w:val="00361A54"/>
    <w:rsid w:val="003744FC"/>
    <w:rsid w:val="003C71D7"/>
    <w:rsid w:val="004102F9"/>
    <w:rsid w:val="00416D30"/>
    <w:rsid w:val="004270FC"/>
    <w:rsid w:val="004413A1"/>
    <w:rsid w:val="0047568A"/>
    <w:rsid w:val="004D5455"/>
    <w:rsid w:val="004E3337"/>
    <w:rsid w:val="004F50E0"/>
    <w:rsid w:val="0056624F"/>
    <w:rsid w:val="00576A91"/>
    <w:rsid w:val="0059674E"/>
    <w:rsid w:val="006121AA"/>
    <w:rsid w:val="006B206A"/>
    <w:rsid w:val="00734781"/>
    <w:rsid w:val="008229E9"/>
    <w:rsid w:val="0082773D"/>
    <w:rsid w:val="00873341"/>
    <w:rsid w:val="008D0570"/>
    <w:rsid w:val="008E7FFA"/>
    <w:rsid w:val="00917FBE"/>
    <w:rsid w:val="0099780F"/>
    <w:rsid w:val="00A661D0"/>
    <w:rsid w:val="00AD27AA"/>
    <w:rsid w:val="00AE1BBF"/>
    <w:rsid w:val="00B15BBE"/>
    <w:rsid w:val="00BF2BF8"/>
    <w:rsid w:val="00C6562B"/>
    <w:rsid w:val="00C7484C"/>
    <w:rsid w:val="00CB5A5B"/>
    <w:rsid w:val="00D46F76"/>
    <w:rsid w:val="00E052F8"/>
    <w:rsid w:val="00E3467E"/>
    <w:rsid w:val="00E72C01"/>
    <w:rsid w:val="00E73EAD"/>
    <w:rsid w:val="00E8763A"/>
    <w:rsid w:val="00F5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1A7930-594F-4530-9706-9AA0340E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FE8"/>
    <w:pPr>
      <w:spacing w:line="25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1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31FE8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rsid w:val="00331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31FE8"/>
    <w:rPr>
      <w:rFonts w:ascii="Calibri" w:eastAsia="Calibri" w:hAnsi="Calibri" w:cs="Times New Roman"/>
      <w:lang w:val="uk-UA"/>
    </w:rPr>
  </w:style>
  <w:style w:type="paragraph" w:styleId="a7">
    <w:name w:val="List Paragraph"/>
    <w:basedOn w:val="a"/>
    <w:uiPriority w:val="34"/>
    <w:qFormat/>
    <w:rsid w:val="00E73EAD"/>
    <w:pPr>
      <w:ind w:left="720"/>
      <w:contextualSpacing/>
    </w:pPr>
  </w:style>
  <w:style w:type="paragraph" w:customStyle="1" w:styleId="rvps2">
    <w:name w:val="rvps2"/>
    <w:basedOn w:val="a"/>
    <w:rsid w:val="00AE1B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C65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6562B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3691</Words>
  <Characters>2104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Інна Григорівна Лопотуха</cp:lastModifiedBy>
  <cp:revision>2</cp:revision>
  <cp:lastPrinted>2020-02-04T08:12:00Z</cp:lastPrinted>
  <dcterms:created xsi:type="dcterms:W3CDTF">2020-02-04T12:59:00Z</dcterms:created>
  <dcterms:modified xsi:type="dcterms:W3CDTF">2020-02-04T12:59:00Z</dcterms:modified>
</cp:coreProperties>
</file>