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679" w:rsidRDefault="00827679" w:rsidP="002D6A9A">
      <w:pPr>
        <w:spacing w:after="0" w:line="240" w:lineRule="auto"/>
        <w:ind w:left="5580"/>
        <w:rPr>
          <w:rFonts w:ascii="Times New Roman" w:hAnsi="Times New Roman"/>
          <w:b/>
          <w:bCs/>
          <w:sz w:val="28"/>
          <w:szCs w:val="28"/>
        </w:rPr>
      </w:pPr>
    </w:p>
    <w:p w:rsidR="00827679" w:rsidRDefault="00827679" w:rsidP="00827679">
      <w:pPr>
        <w:rPr>
          <w:rFonts w:ascii="Times New Roman" w:hAnsi="Times New Roman"/>
          <w:sz w:val="28"/>
          <w:szCs w:val="28"/>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Default="00827679" w:rsidP="00827679">
      <w:pPr>
        <w:spacing w:after="0" w:line="240" w:lineRule="auto"/>
        <w:ind w:left="6521"/>
        <w:rPr>
          <w:rFonts w:ascii="Times New Roman" w:hAnsi="Times New Roman"/>
          <w:b/>
          <w:bCs/>
          <w:sz w:val="28"/>
          <w:szCs w:val="28"/>
          <w:lang w:val="uk-UA"/>
        </w:rPr>
      </w:pPr>
    </w:p>
    <w:p w:rsidR="00827679" w:rsidRPr="002311AD" w:rsidRDefault="00827679" w:rsidP="00827679">
      <w:pPr>
        <w:spacing w:after="0" w:line="240" w:lineRule="auto"/>
        <w:ind w:left="6521"/>
        <w:rPr>
          <w:rFonts w:ascii="Times New Roman" w:hAnsi="Times New Roman"/>
          <w:b/>
          <w:bCs/>
          <w:sz w:val="28"/>
          <w:szCs w:val="28"/>
          <w:lang w:val="uk-UA"/>
        </w:rPr>
      </w:pPr>
      <w:r w:rsidRPr="002311AD">
        <w:rPr>
          <w:rFonts w:ascii="Times New Roman" w:hAnsi="Times New Roman"/>
          <w:b/>
          <w:bCs/>
          <w:sz w:val="28"/>
          <w:szCs w:val="28"/>
          <w:lang w:val="uk-UA"/>
        </w:rPr>
        <w:t>Верховна Рада України</w:t>
      </w:r>
    </w:p>
    <w:p w:rsidR="00827679" w:rsidRPr="002311AD" w:rsidRDefault="00827679" w:rsidP="00827679">
      <w:pPr>
        <w:pStyle w:val="ad"/>
        <w:widowControl w:val="0"/>
        <w:spacing w:before="0" w:beforeAutospacing="0" w:after="0" w:afterAutospacing="0"/>
        <w:ind w:firstLine="720"/>
        <w:jc w:val="both"/>
        <w:rPr>
          <w:sz w:val="28"/>
          <w:szCs w:val="28"/>
          <w:lang w:eastAsia="en-US"/>
        </w:rPr>
      </w:pPr>
    </w:p>
    <w:p w:rsidR="00827679" w:rsidRPr="002311AD" w:rsidRDefault="00827679" w:rsidP="00827679">
      <w:pPr>
        <w:spacing w:after="120" w:line="240" w:lineRule="auto"/>
        <w:ind w:firstLine="708"/>
        <w:jc w:val="both"/>
        <w:rPr>
          <w:rFonts w:ascii="Times New Roman" w:hAnsi="Times New Roman"/>
          <w:sz w:val="28"/>
          <w:szCs w:val="28"/>
          <w:lang w:val="uk-UA"/>
        </w:rPr>
      </w:pPr>
      <w:r w:rsidRPr="002311AD">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17 червня 2020 року (протокол №36) розглянув проекти законів України </w:t>
      </w:r>
      <w:r w:rsidRPr="002311AD">
        <w:rPr>
          <w:rFonts w:ascii="Times New Roman" w:hAnsi="Times New Roman"/>
          <w:bCs/>
          <w:sz w:val="28"/>
          <w:szCs w:val="28"/>
          <w:lang w:val="uk-UA"/>
        </w:rPr>
        <w:t xml:space="preserve">про внесення змін до Податкового кодексу України щодо оподаткування доходів від організації та проведення азартних ігор </w:t>
      </w:r>
      <w:r w:rsidRPr="002311AD">
        <w:rPr>
          <w:rFonts w:ascii="Times New Roman" w:hAnsi="Times New Roman"/>
          <w:b/>
          <w:bCs/>
          <w:sz w:val="28"/>
          <w:szCs w:val="28"/>
          <w:lang w:val="uk-UA"/>
        </w:rPr>
        <w:t>(реєстр. №2713)</w:t>
      </w:r>
      <w:r w:rsidRPr="002311AD">
        <w:rPr>
          <w:rFonts w:ascii="Times New Roman" w:hAnsi="Times New Roman"/>
          <w:bCs/>
          <w:sz w:val="28"/>
          <w:szCs w:val="28"/>
          <w:lang w:val="uk-UA"/>
        </w:rPr>
        <w:t xml:space="preserve">, поданий народними депутатами України </w:t>
      </w:r>
      <w:proofErr w:type="spellStart"/>
      <w:r w:rsidRPr="002311AD">
        <w:rPr>
          <w:rFonts w:ascii="Times New Roman" w:hAnsi="Times New Roman"/>
          <w:bCs/>
          <w:sz w:val="28"/>
          <w:szCs w:val="28"/>
          <w:lang w:val="uk-UA"/>
        </w:rPr>
        <w:t>Заблоцьким</w:t>
      </w:r>
      <w:proofErr w:type="spellEnd"/>
      <w:r w:rsidRPr="002311AD">
        <w:rPr>
          <w:rFonts w:ascii="Times New Roman" w:hAnsi="Times New Roman"/>
          <w:bCs/>
          <w:sz w:val="28"/>
          <w:szCs w:val="28"/>
          <w:lang w:val="uk-UA"/>
        </w:rPr>
        <w:t xml:space="preserve"> М. Б. та </w:t>
      </w:r>
      <w:proofErr w:type="spellStart"/>
      <w:r w:rsidRPr="002311AD">
        <w:rPr>
          <w:rFonts w:ascii="Times New Roman" w:hAnsi="Times New Roman"/>
          <w:bCs/>
          <w:sz w:val="28"/>
          <w:szCs w:val="28"/>
          <w:lang w:val="uk-UA"/>
        </w:rPr>
        <w:t>Марусяком</w:t>
      </w:r>
      <w:proofErr w:type="spellEnd"/>
      <w:r w:rsidRPr="002311AD">
        <w:rPr>
          <w:rFonts w:ascii="Times New Roman" w:hAnsi="Times New Roman"/>
          <w:bCs/>
          <w:sz w:val="28"/>
          <w:szCs w:val="28"/>
          <w:lang w:val="uk-UA"/>
        </w:rPr>
        <w:t xml:space="preserve"> О. Р.; про внесення змін до Податкового кодексу України щодо оподаткування доходів від організації та проведення азартних ігор </w:t>
      </w:r>
      <w:r w:rsidRPr="002311AD">
        <w:rPr>
          <w:rFonts w:ascii="Times New Roman" w:hAnsi="Times New Roman"/>
          <w:b/>
          <w:bCs/>
          <w:sz w:val="28"/>
          <w:szCs w:val="28"/>
          <w:lang w:val="uk-UA"/>
        </w:rPr>
        <w:t>(реєстр. №2713-1)</w:t>
      </w:r>
      <w:r w:rsidRPr="002311AD">
        <w:rPr>
          <w:rFonts w:ascii="Times New Roman" w:hAnsi="Times New Roman"/>
          <w:sz w:val="28"/>
          <w:szCs w:val="28"/>
          <w:lang w:val="uk-UA"/>
        </w:rPr>
        <w:t xml:space="preserve">, </w:t>
      </w:r>
      <w:r w:rsidRPr="002311AD">
        <w:rPr>
          <w:rFonts w:ascii="Times New Roman" w:hAnsi="Times New Roman"/>
          <w:bCs/>
          <w:sz w:val="28"/>
          <w:szCs w:val="28"/>
          <w:lang w:val="uk-UA"/>
        </w:rPr>
        <w:t xml:space="preserve">поданий народним депутатом України </w:t>
      </w:r>
      <w:proofErr w:type="spellStart"/>
      <w:r w:rsidRPr="002311AD">
        <w:rPr>
          <w:rFonts w:ascii="Times New Roman" w:hAnsi="Times New Roman"/>
          <w:bCs/>
          <w:sz w:val="28"/>
          <w:szCs w:val="28"/>
          <w:lang w:val="uk-UA"/>
        </w:rPr>
        <w:t>Наталухою</w:t>
      </w:r>
      <w:proofErr w:type="spellEnd"/>
      <w:r w:rsidRPr="002311AD">
        <w:rPr>
          <w:rFonts w:ascii="Times New Roman" w:hAnsi="Times New Roman"/>
          <w:bCs/>
          <w:sz w:val="28"/>
          <w:szCs w:val="28"/>
          <w:lang w:val="uk-UA"/>
        </w:rPr>
        <w:t xml:space="preserve"> Д. А.; про внесення змін до Податкового кодексу України щодо оподаткування доходів від провадження ігорного бізнесу </w:t>
      </w:r>
      <w:r w:rsidRPr="002311AD">
        <w:rPr>
          <w:rFonts w:ascii="Times New Roman" w:hAnsi="Times New Roman"/>
          <w:b/>
          <w:bCs/>
          <w:sz w:val="28"/>
          <w:szCs w:val="28"/>
          <w:lang w:val="uk-UA"/>
        </w:rPr>
        <w:t>(реєстр. №2713-2)</w:t>
      </w:r>
      <w:r w:rsidRPr="002311AD">
        <w:rPr>
          <w:rFonts w:ascii="Times New Roman" w:hAnsi="Times New Roman"/>
          <w:bCs/>
          <w:sz w:val="28"/>
          <w:szCs w:val="28"/>
          <w:lang w:val="uk-UA"/>
        </w:rPr>
        <w:t xml:space="preserve">, </w:t>
      </w:r>
      <w:r w:rsidRPr="002311AD">
        <w:rPr>
          <w:rFonts w:ascii="Times New Roman" w:hAnsi="Times New Roman"/>
          <w:sz w:val="28"/>
          <w:szCs w:val="28"/>
          <w:lang w:val="uk-UA"/>
        </w:rPr>
        <w:t xml:space="preserve">поданий народним депутатом України </w:t>
      </w:r>
      <w:proofErr w:type="spellStart"/>
      <w:r w:rsidRPr="002311AD">
        <w:rPr>
          <w:rFonts w:ascii="Times New Roman" w:hAnsi="Times New Roman"/>
          <w:sz w:val="28"/>
          <w:szCs w:val="28"/>
          <w:lang w:val="uk-UA"/>
        </w:rPr>
        <w:t>Дубінським</w:t>
      </w:r>
      <w:proofErr w:type="spellEnd"/>
      <w:r w:rsidRPr="002311AD">
        <w:rPr>
          <w:rFonts w:ascii="Times New Roman" w:hAnsi="Times New Roman"/>
          <w:sz w:val="28"/>
          <w:szCs w:val="28"/>
          <w:lang w:val="uk-UA"/>
        </w:rPr>
        <w:t xml:space="preserve"> О. А.; </w:t>
      </w:r>
      <w:r w:rsidRPr="002311AD">
        <w:rPr>
          <w:rFonts w:ascii="Times New Roman" w:hAnsi="Times New Roman"/>
          <w:bCs/>
          <w:sz w:val="28"/>
          <w:szCs w:val="28"/>
          <w:lang w:val="uk-UA"/>
        </w:rPr>
        <w:t xml:space="preserve">про внесення змін до Податкового кодексу України щодо оподаткування доходів від організації та проведення азартних ігор </w:t>
      </w:r>
      <w:r w:rsidRPr="002311AD">
        <w:rPr>
          <w:rFonts w:ascii="Times New Roman" w:hAnsi="Times New Roman"/>
          <w:b/>
          <w:bCs/>
          <w:sz w:val="28"/>
          <w:szCs w:val="28"/>
          <w:lang w:val="uk-UA"/>
        </w:rPr>
        <w:t>(реєстр. №2713-3)</w:t>
      </w:r>
      <w:r w:rsidRPr="002311AD">
        <w:rPr>
          <w:rFonts w:ascii="Times New Roman" w:hAnsi="Times New Roman"/>
          <w:bCs/>
          <w:sz w:val="28"/>
          <w:szCs w:val="28"/>
          <w:lang w:val="uk-UA"/>
        </w:rPr>
        <w:t xml:space="preserve">, </w:t>
      </w:r>
      <w:r w:rsidRPr="002311AD">
        <w:rPr>
          <w:rFonts w:ascii="Times New Roman" w:hAnsi="Times New Roman"/>
          <w:sz w:val="28"/>
          <w:szCs w:val="28"/>
          <w:lang w:val="uk-UA"/>
        </w:rPr>
        <w:t xml:space="preserve">поданий народним депутатом України </w:t>
      </w:r>
      <w:proofErr w:type="spellStart"/>
      <w:r w:rsidRPr="002311AD">
        <w:rPr>
          <w:rFonts w:ascii="Times New Roman" w:hAnsi="Times New Roman"/>
          <w:sz w:val="28"/>
          <w:szCs w:val="28"/>
          <w:lang w:val="uk-UA"/>
        </w:rPr>
        <w:t>Дубновим</w:t>
      </w:r>
      <w:proofErr w:type="spellEnd"/>
      <w:r w:rsidRPr="002311AD">
        <w:rPr>
          <w:rFonts w:ascii="Times New Roman" w:hAnsi="Times New Roman"/>
          <w:sz w:val="28"/>
          <w:szCs w:val="28"/>
          <w:lang w:val="uk-UA"/>
        </w:rPr>
        <w:t xml:space="preserve"> А. В.</w:t>
      </w:r>
    </w:p>
    <w:p w:rsidR="00827679" w:rsidRPr="002311AD" w:rsidRDefault="00827679" w:rsidP="00827679">
      <w:pPr>
        <w:spacing w:line="240" w:lineRule="auto"/>
        <w:ind w:firstLine="709"/>
        <w:jc w:val="both"/>
        <w:rPr>
          <w:rFonts w:ascii="Times New Roman" w:hAnsi="Times New Roman"/>
          <w:sz w:val="28"/>
          <w:szCs w:val="28"/>
          <w:lang w:val="uk-UA"/>
        </w:rPr>
      </w:pPr>
      <w:r w:rsidRPr="002311AD">
        <w:rPr>
          <w:rFonts w:ascii="Times New Roman" w:hAnsi="Times New Roman"/>
          <w:sz w:val="28"/>
          <w:szCs w:val="28"/>
          <w:lang w:val="uk-UA"/>
        </w:rPr>
        <w:t xml:space="preserve">Згідно пояснювальних записок всі законопроекти мають основною метою </w:t>
      </w:r>
      <w:r w:rsidRPr="002311AD">
        <w:rPr>
          <w:rFonts w:ascii="Times New Roman" w:hAnsi="Times New Roman"/>
          <w:spacing w:val="-6"/>
          <w:kern w:val="1"/>
          <w:sz w:val="28"/>
          <w:szCs w:val="28"/>
          <w:lang w:val="uk-UA"/>
        </w:rPr>
        <w:t xml:space="preserve">запровадження збалансованої системи оподаткування </w:t>
      </w:r>
      <w:r w:rsidRPr="002311AD">
        <w:rPr>
          <w:rFonts w:ascii="Times New Roman" w:hAnsi="Times New Roman"/>
          <w:kern w:val="1"/>
          <w:sz w:val="28"/>
          <w:szCs w:val="28"/>
          <w:lang w:val="uk-UA"/>
        </w:rPr>
        <w:t xml:space="preserve">діяльності щодо організації та проведення азартних ігор за для </w:t>
      </w:r>
      <w:r w:rsidRPr="002311AD">
        <w:rPr>
          <w:rFonts w:ascii="Times New Roman" w:hAnsi="Times New Roman"/>
          <w:sz w:val="28"/>
          <w:szCs w:val="28"/>
          <w:lang w:val="uk-UA"/>
        </w:rPr>
        <w:t>утворення сприятливих умов для виведення з тіні та легальної роботи сфери азартних ігор в Україні</w:t>
      </w:r>
      <w:r w:rsidRPr="002311AD">
        <w:rPr>
          <w:rFonts w:ascii="Times New Roman" w:hAnsi="Times New Roman"/>
          <w:spacing w:val="-6"/>
          <w:kern w:val="1"/>
          <w:sz w:val="28"/>
          <w:szCs w:val="28"/>
          <w:lang w:val="uk-UA"/>
        </w:rPr>
        <w:t>, залучення на території України іноземних інвесторів, створення додаткових офіційних робочих місць та збільшення податкових надходжень до Державного бюджету України.</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Законопроектом </w:t>
      </w:r>
      <w:r w:rsidRPr="002311AD">
        <w:rPr>
          <w:rFonts w:ascii="Times New Roman" w:hAnsi="Times New Roman"/>
          <w:b/>
          <w:sz w:val="28"/>
          <w:szCs w:val="28"/>
          <w:lang w:val="uk-UA"/>
        </w:rPr>
        <w:t>(реєстр. № 2713)</w:t>
      </w:r>
      <w:r w:rsidRPr="002311AD">
        <w:rPr>
          <w:rFonts w:ascii="Times New Roman" w:hAnsi="Times New Roman"/>
          <w:sz w:val="28"/>
          <w:szCs w:val="28"/>
          <w:lang w:val="uk-UA"/>
        </w:rPr>
        <w:t xml:space="preserve"> пропонуються такі зміни: для  валового ігрового доходу (дохід від прийняття ставок зменшений на суму виплачений впродовж звітного періоду виграшів), отриманого від букмекерської діяльності, діяльності з організації та проведення азартних ігор в казино,  он-лайн казино, діяльності з організації та проведення азартних ігор в залах гральних автоматів,  а також для діяльності з організації та проведення лотерей пропонується встановити ставку податку 10 відсотків.</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Крім податку на дохід, законопроектом передбачається, що суб’єкти господарювання сплачуватимусь також податок на прибуток за загальною ставкою. При цьому нарахований суб’єктом податок на дохід  не є різницею та не зменшує фінансовий результат до оподаткування такого суб’єкта.</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lastRenderedPageBreak/>
        <w:t>Поряд з цим, проектом передбачається, що виграші в азартні ігри та лотереї звільняються від оподаткування податком на доходи фізичних осіб та військовим збором.</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b/>
          <w:i/>
          <w:sz w:val="28"/>
          <w:szCs w:val="28"/>
          <w:lang w:val="uk-UA"/>
        </w:rPr>
        <w:t>Головне науково-експертне управління</w:t>
      </w:r>
      <w:r w:rsidRPr="002311AD">
        <w:rPr>
          <w:rFonts w:ascii="Times New Roman" w:hAnsi="Times New Roman"/>
          <w:sz w:val="28"/>
          <w:szCs w:val="28"/>
          <w:lang w:val="uk-UA"/>
        </w:rPr>
        <w:t xml:space="preserve"> у своєму висновку висловило зауваження до законопроекту та вважає за необхідне отримати висновок Уряду.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b/>
          <w:i/>
          <w:sz w:val="28"/>
          <w:szCs w:val="28"/>
          <w:lang w:val="uk-UA"/>
        </w:rPr>
        <w:t>Комітет Верховної Ради України з питань бюджету</w:t>
      </w:r>
      <w:r w:rsidRPr="002311AD">
        <w:rPr>
          <w:rFonts w:ascii="Times New Roman" w:hAnsi="Times New Roman"/>
          <w:sz w:val="28"/>
          <w:szCs w:val="28"/>
          <w:lang w:val="uk-UA"/>
        </w:rPr>
        <w:t xml:space="preserve"> у своєму висновку зазначає, що законопроект матиме </w:t>
      </w:r>
      <w:r w:rsidRPr="002311AD">
        <w:rPr>
          <w:rFonts w:ascii="Times New Roman" w:hAnsi="Times New Roman"/>
          <w:bCs/>
          <w:iCs/>
          <w:sz w:val="28"/>
          <w:szCs w:val="28"/>
          <w:lang w:val="uk-UA"/>
        </w:rPr>
        <w:t xml:space="preserve">вплив </w:t>
      </w:r>
      <w:r w:rsidRPr="002311AD">
        <w:rPr>
          <w:rFonts w:ascii="Times New Roman" w:hAnsi="Times New Roman"/>
          <w:sz w:val="28"/>
          <w:szCs w:val="28"/>
          <w:lang w:val="uk-UA"/>
        </w:rPr>
        <w:t>на показники бюджету (призведе до зміни показників доходів бюджетів залежно від практики застосування даної законодавчої ініціативи).</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Згідно висновком, надісланим Міністерством фінансів України на виконання доручення Прем’єр-міністра України, законопроект не підтримується. </w:t>
      </w:r>
    </w:p>
    <w:p w:rsidR="00827679" w:rsidRPr="002311AD" w:rsidRDefault="00827679" w:rsidP="00827679">
      <w:pPr>
        <w:spacing w:after="120" w:line="240" w:lineRule="auto"/>
        <w:ind w:firstLine="708"/>
        <w:jc w:val="both"/>
        <w:rPr>
          <w:rFonts w:ascii="Times New Roman" w:hAnsi="Times New Roman"/>
          <w:color w:val="000000"/>
          <w:sz w:val="28"/>
          <w:szCs w:val="28"/>
          <w:lang w:val="uk-UA"/>
        </w:rPr>
      </w:pPr>
      <w:r w:rsidRPr="002311AD">
        <w:rPr>
          <w:rFonts w:ascii="Times New Roman" w:hAnsi="Times New Roman"/>
          <w:sz w:val="28"/>
          <w:szCs w:val="28"/>
          <w:lang w:val="uk-UA"/>
        </w:rPr>
        <w:t xml:space="preserve">Законопроектом </w:t>
      </w:r>
      <w:r w:rsidRPr="002311AD">
        <w:rPr>
          <w:rFonts w:ascii="Times New Roman" w:hAnsi="Times New Roman"/>
          <w:b/>
          <w:sz w:val="28"/>
          <w:szCs w:val="28"/>
          <w:lang w:val="uk-UA"/>
        </w:rPr>
        <w:t>(реєстр. № 2713-1)</w:t>
      </w:r>
      <w:r w:rsidRPr="002311AD">
        <w:rPr>
          <w:rFonts w:ascii="Times New Roman" w:hAnsi="Times New Roman"/>
          <w:sz w:val="28"/>
          <w:szCs w:val="28"/>
          <w:lang w:val="uk-UA"/>
        </w:rPr>
        <w:t xml:space="preserve"> пропонується встановити, що п</w:t>
      </w:r>
      <w:r w:rsidRPr="002311AD">
        <w:rPr>
          <w:rFonts w:ascii="Times New Roman" w:hAnsi="Times New Roman"/>
          <w:color w:val="000000"/>
          <w:sz w:val="28"/>
          <w:szCs w:val="28"/>
          <w:lang w:val="uk-UA"/>
        </w:rPr>
        <w:t xml:space="preserve">ід час провадження діяльності з організації та проведення азартних ігор ставка податку на дохід (валовий ігровий дохід) встановлюється у розмірі: 7,5 % від доходу, отриманого від організації та проведення букмекерської діяльності; 12,5 % від доходу отриманого від  діяльності з організації та проведення азартних ігор в казино через мережу Інтернет, діяльності з організації та проведення азартних ігор в залах гральних автоматів та гральних автоматів з гральних закладах казино; 22 % від доходу від діяльності з організації та проведення лотерей. </w:t>
      </w:r>
      <w:bookmarkStart w:id="0" w:name="n14314"/>
      <w:bookmarkStart w:id="1" w:name="n10651"/>
      <w:bookmarkEnd w:id="0"/>
      <w:bookmarkEnd w:id="1"/>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Крім податку на дохід, законопроектом передбачається, що суб’єкти господарювання сплачуватимусь також податок на прибуток за загальною ставкою. При цьому нарахований суб’єктом податок на дохід є різницею та зменшує фінансовий результат до оподаткування такого суб’єкта.</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Поряд з цим, проектом передбачається, що виграші в азартні ігри звільняються від оподаткування податком на доходи фізичних осіб та військовим збором.</w:t>
      </w:r>
    </w:p>
    <w:p w:rsidR="00827679" w:rsidRPr="002311AD" w:rsidRDefault="00827679" w:rsidP="00827679">
      <w:pPr>
        <w:spacing w:before="120" w:line="240" w:lineRule="auto"/>
        <w:ind w:firstLine="539"/>
        <w:jc w:val="both"/>
        <w:rPr>
          <w:rFonts w:ascii="Times New Roman" w:hAnsi="Times New Roman"/>
          <w:sz w:val="28"/>
          <w:szCs w:val="28"/>
          <w:lang w:val="uk-UA" w:eastAsia="uk-UA"/>
        </w:rPr>
      </w:pPr>
      <w:r w:rsidRPr="002311AD">
        <w:rPr>
          <w:rFonts w:ascii="Times New Roman" w:hAnsi="Times New Roman"/>
          <w:b/>
          <w:i/>
          <w:sz w:val="28"/>
          <w:szCs w:val="28"/>
          <w:lang w:val="uk-UA"/>
        </w:rPr>
        <w:t>Головне науково-експертне управління</w:t>
      </w:r>
      <w:r w:rsidRPr="002311AD">
        <w:rPr>
          <w:rFonts w:ascii="Times New Roman" w:hAnsi="Times New Roman"/>
          <w:sz w:val="28"/>
          <w:szCs w:val="28"/>
          <w:lang w:val="uk-UA"/>
        </w:rPr>
        <w:t xml:space="preserve"> у своєму висновку висловило зауваження до законопроекту та вважає за необхідне отримати висновок Уряду. Крім того </w:t>
      </w:r>
      <w:r w:rsidRPr="002311AD">
        <w:rPr>
          <w:rFonts w:ascii="Times New Roman" w:hAnsi="Times New Roman"/>
          <w:sz w:val="28"/>
          <w:szCs w:val="28"/>
          <w:lang w:val="uk-UA" w:eastAsia="uk-UA"/>
        </w:rPr>
        <w:t>рішення щодо внесеного проекту слід приймати за результатами розгляду проекту реєстр. № 2285-д, у тому числі з метою коректного застосування термінології та, відповідно, забезпечення повноти регулювання відповідних суспільних відносин та передбачити, що він набирає чинності з дня набрання чинності Законом України «Про державне регулювання діяльності щодо організації та проведення азартних ігор».</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b/>
          <w:i/>
          <w:sz w:val="28"/>
          <w:szCs w:val="28"/>
          <w:lang w:val="uk-UA"/>
        </w:rPr>
        <w:t>Комітет Верховної Ради України з питань бюджету</w:t>
      </w:r>
      <w:r w:rsidRPr="002311AD">
        <w:rPr>
          <w:rFonts w:ascii="Times New Roman" w:hAnsi="Times New Roman"/>
          <w:sz w:val="28"/>
          <w:szCs w:val="28"/>
          <w:lang w:val="uk-UA"/>
        </w:rPr>
        <w:t xml:space="preserve"> у своєму висновку зазначає, що законопроект матиме </w:t>
      </w:r>
      <w:r w:rsidRPr="002311AD">
        <w:rPr>
          <w:rFonts w:ascii="Times New Roman" w:hAnsi="Times New Roman"/>
          <w:bCs/>
          <w:iCs/>
          <w:sz w:val="28"/>
          <w:szCs w:val="28"/>
          <w:lang w:val="uk-UA"/>
        </w:rPr>
        <w:t xml:space="preserve">вплив </w:t>
      </w:r>
      <w:r w:rsidRPr="002311AD">
        <w:rPr>
          <w:rFonts w:ascii="Times New Roman" w:hAnsi="Times New Roman"/>
          <w:sz w:val="28"/>
          <w:szCs w:val="28"/>
          <w:lang w:val="uk-UA"/>
        </w:rPr>
        <w:t>на показники бюджету (призведе до зміни показників доходів бюджетів залежно від практики застосування даної законодавчої ініціативи).</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lastRenderedPageBreak/>
        <w:t xml:space="preserve">Згідно з проектом висновку, надісланим Міністерством фінансів України на виконання доручення Прем’єр-міністра України, законопроект не підтримується.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Законопроектом </w:t>
      </w:r>
      <w:r w:rsidRPr="002311AD">
        <w:rPr>
          <w:rFonts w:ascii="Times New Roman" w:hAnsi="Times New Roman"/>
          <w:b/>
          <w:sz w:val="28"/>
          <w:szCs w:val="28"/>
          <w:lang w:val="uk-UA"/>
        </w:rPr>
        <w:t xml:space="preserve">(реєстр. № 2713-2) </w:t>
      </w:r>
      <w:r w:rsidRPr="002311AD">
        <w:rPr>
          <w:rFonts w:ascii="Times New Roman" w:hAnsi="Times New Roman"/>
          <w:sz w:val="28"/>
          <w:szCs w:val="28"/>
          <w:lang w:val="uk-UA"/>
        </w:rPr>
        <w:t>пропонується</w:t>
      </w:r>
      <w:r w:rsidRPr="002311AD">
        <w:rPr>
          <w:rFonts w:ascii="Times New Roman" w:hAnsi="Times New Roman"/>
          <w:b/>
          <w:sz w:val="28"/>
          <w:szCs w:val="28"/>
          <w:lang w:val="uk-UA"/>
        </w:rPr>
        <w:t xml:space="preserve"> </w:t>
      </w:r>
      <w:r w:rsidRPr="002311AD">
        <w:rPr>
          <w:rFonts w:ascii="Times New Roman" w:hAnsi="Times New Roman"/>
          <w:sz w:val="28"/>
          <w:szCs w:val="28"/>
          <w:lang w:val="uk-UA"/>
        </w:rPr>
        <w:t xml:space="preserve">встановити ставку податку на дохід (валовий ігровий дохід), отриманий від організації та проведення азартних ігор казино через мережу Інтернет, ігор в залах гральних автоматів, букмекерської діяльності, від проведення державних лотерей, в розмірі 25 %. Для діяльності з організації та проведення азартних ігор в наземних казино податку на дохід не передбачено.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Крім податку на дохід, законопроектом передбачається, що суб’єкти господарювання сплачуватимусь також податок на прибуток за загальною ставкою. При цьому нарахований суб’єктом податок на дохід є різницею та зменшує фінансовий результат до оподаткування такого суб’єкта.</w:t>
      </w:r>
    </w:p>
    <w:p w:rsidR="00827679" w:rsidRPr="002311AD" w:rsidRDefault="00827679" w:rsidP="00827679">
      <w:pPr>
        <w:spacing w:before="120" w:line="240" w:lineRule="auto"/>
        <w:ind w:firstLine="539"/>
        <w:jc w:val="both"/>
        <w:rPr>
          <w:rFonts w:ascii="Times New Roman" w:hAnsi="Times New Roman"/>
          <w:sz w:val="28"/>
          <w:szCs w:val="28"/>
          <w:lang w:val="uk-UA" w:eastAsia="uk-UA"/>
        </w:rPr>
      </w:pPr>
      <w:r w:rsidRPr="002311AD">
        <w:rPr>
          <w:rFonts w:ascii="Times New Roman" w:hAnsi="Times New Roman"/>
          <w:sz w:val="28"/>
          <w:szCs w:val="28"/>
          <w:lang w:val="uk-UA"/>
        </w:rPr>
        <w:t xml:space="preserve">Поряд з цим, проектом передбачається, що виграші в азартні ігри звільняються від оподаткування податком на доходи фізичних осіб та військовим збором. Проте пропонується </w:t>
      </w:r>
      <w:r w:rsidRPr="002311AD">
        <w:rPr>
          <w:rFonts w:ascii="Times New Roman" w:hAnsi="Times New Roman"/>
          <w:sz w:val="28"/>
          <w:szCs w:val="28"/>
          <w:lang w:val="uk-UA" w:eastAsia="uk-UA"/>
        </w:rPr>
        <w:t>передбачити доступ контролюючих органів до «системи онлайн моніторингу, ведення якої передбачено Законом України «Про державне регулювання діяльності щодо організації та проведення азартних ігор».</w:t>
      </w:r>
    </w:p>
    <w:p w:rsidR="00827679" w:rsidRPr="002311AD" w:rsidRDefault="00827679" w:rsidP="00827679">
      <w:pPr>
        <w:spacing w:before="120" w:line="240" w:lineRule="auto"/>
        <w:ind w:firstLine="539"/>
        <w:jc w:val="both"/>
        <w:rPr>
          <w:rFonts w:ascii="Times New Roman" w:hAnsi="Times New Roman"/>
          <w:sz w:val="28"/>
          <w:szCs w:val="28"/>
          <w:lang w:val="uk-UA" w:eastAsia="uk-UA"/>
        </w:rPr>
      </w:pPr>
      <w:r w:rsidRPr="002311AD">
        <w:rPr>
          <w:rFonts w:ascii="Times New Roman" w:hAnsi="Times New Roman"/>
          <w:b/>
          <w:i/>
          <w:sz w:val="28"/>
          <w:szCs w:val="28"/>
          <w:lang w:val="uk-UA"/>
        </w:rPr>
        <w:t>Головне науково-експертне управління</w:t>
      </w:r>
      <w:r w:rsidRPr="002311AD">
        <w:rPr>
          <w:rFonts w:ascii="Times New Roman" w:hAnsi="Times New Roman"/>
          <w:sz w:val="28"/>
          <w:szCs w:val="28"/>
          <w:lang w:val="uk-UA"/>
        </w:rPr>
        <w:t xml:space="preserve"> у своєму висновку висловило зауваження до законопроекту та вважає за необхідне отримати висновок Уряду. Крім того </w:t>
      </w:r>
      <w:r w:rsidRPr="002311AD">
        <w:rPr>
          <w:rFonts w:ascii="Times New Roman" w:hAnsi="Times New Roman"/>
          <w:sz w:val="28"/>
          <w:szCs w:val="28"/>
          <w:lang w:val="uk-UA" w:eastAsia="uk-UA"/>
        </w:rPr>
        <w:t>рішення щодо внесеного проекту слід приймати за результатами розгляду проекту реєстр. № 2285-д, у тому числі з метою коректного застосування термінології та, відповідно, забезпечення повноти регулювання відповідних суспільних відносин та передбачити, що  він набирає чинності з дня набрання чинності Законом України «Про державне регулювання діяльності щодо організації та проведення азартних ігор».</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b/>
          <w:i/>
          <w:sz w:val="28"/>
          <w:szCs w:val="28"/>
          <w:lang w:val="uk-UA"/>
        </w:rPr>
        <w:t>Комітет Верховної Ради України з питань бюджету</w:t>
      </w:r>
      <w:r w:rsidRPr="002311AD">
        <w:rPr>
          <w:rFonts w:ascii="Times New Roman" w:hAnsi="Times New Roman"/>
          <w:sz w:val="28"/>
          <w:szCs w:val="28"/>
          <w:lang w:val="uk-UA"/>
        </w:rPr>
        <w:t xml:space="preserve"> у своєму висновку зазначає, що законопроект матиме </w:t>
      </w:r>
      <w:r w:rsidRPr="002311AD">
        <w:rPr>
          <w:rFonts w:ascii="Times New Roman" w:hAnsi="Times New Roman"/>
          <w:bCs/>
          <w:iCs/>
          <w:sz w:val="28"/>
          <w:szCs w:val="28"/>
          <w:lang w:val="uk-UA"/>
        </w:rPr>
        <w:t xml:space="preserve">вплив </w:t>
      </w:r>
      <w:r w:rsidRPr="002311AD">
        <w:rPr>
          <w:rFonts w:ascii="Times New Roman" w:hAnsi="Times New Roman"/>
          <w:sz w:val="28"/>
          <w:szCs w:val="28"/>
          <w:lang w:val="uk-UA"/>
        </w:rPr>
        <w:t>на показники бюджету (призведе до зміни показників доходів бюджетів залежно від практики застосування даної законодавчої ініціативи).</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Згідно з проектом висновку, надісланим Міністерством фінансів України на виконання доручення Прем’єр-міністра України, законопроект не підтримується.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Законопроектом </w:t>
      </w:r>
      <w:r w:rsidRPr="002311AD">
        <w:rPr>
          <w:rFonts w:ascii="Times New Roman" w:hAnsi="Times New Roman"/>
          <w:b/>
          <w:sz w:val="28"/>
          <w:szCs w:val="28"/>
          <w:lang w:val="uk-UA"/>
        </w:rPr>
        <w:t>(реєстр. № 2713-3)</w:t>
      </w:r>
      <w:r w:rsidRPr="002311AD">
        <w:rPr>
          <w:rFonts w:ascii="Times New Roman" w:hAnsi="Times New Roman"/>
          <w:sz w:val="28"/>
          <w:szCs w:val="28"/>
          <w:lang w:val="uk-UA"/>
        </w:rPr>
        <w:t xml:space="preserve"> пропонується виключити положення щодо оподаткування доходів суб’єктів господарювання, які здійснюють організацію та проведення азартних ігор, та оподатковувати лише їх прибуток за базовою (основною) ставкою податку, звільнити від оподаткування податком на доходи фізичних осіб суму виграшів в азартних іграх. </w:t>
      </w:r>
    </w:p>
    <w:p w:rsidR="00827679" w:rsidRPr="002311AD" w:rsidRDefault="00827679" w:rsidP="00827679">
      <w:pPr>
        <w:spacing w:before="120" w:line="240" w:lineRule="auto"/>
        <w:ind w:firstLine="539"/>
        <w:jc w:val="both"/>
        <w:rPr>
          <w:rFonts w:ascii="Times New Roman" w:hAnsi="Times New Roman"/>
          <w:sz w:val="28"/>
          <w:szCs w:val="28"/>
          <w:lang w:val="uk-UA" w:eastAsia="uk-UA"/>
        </w:rPr>
      </w:pPr>
      <w:r w:rsidRPr="002311AD">
        <w:rPr>
          <w:rFonts w:ascii="Times New Roman" w:hAnsi="Times New Roman"/>
          <w:b/>
          <w:i/>
          <w:sz w:val="28"/>
          <w:szCs w:val="28"/>
          <w:lang w:val="uk-UA"/>
        </w:rPr>
        <w:t>Головне науково-експертне управління</w:t>
      </w:r>
      <w:r w:rsidRPr="002311AD">
        <w:rPr>
          <w:rFonts w:ascii="Times New Roman" w:hAnsi="Times New Roman"/>
          <w:sz w:val="28"/>
          <w:szCs w:val="28"/>
          <w:lang w:val="uk-UA"/>
        </w:rPr>
        <w:t xml:space="preserve"> у своєму висновку висловило зауваження до законопроекту та вважає за необхідне отримати висновок Уряду. Крім того </w:t>
      </w:r>
      <w:r w:rsidRPr="002311AD">
        <w:rPr>
          <w:rFonts w:ascii="Times New Roman" w:hAnsi="Times New Roman"/>
          <w:sz w:val="28"/>
          <w:szCs w:val="28"/>
          <w:lang w:val="uk-UA" w:eastAsia="uk-UA"/>
        </w:rPr>
        <w:t xml:space="preserve">рішення щодо внесеного проекту слід приймати за результатами </w:t>
      </w:r>
      <w:r w:rsidRPr="002311AD">
        <w:rPr>
          <w:rFonts w:ascii="Times New Roman" w:hAnsi="Times New Roman"/>
          <w:sz w:val="28"/>
          <w:szCs w:val="28"/>
          <w:lang w:val="uk-UA" w:eastAsia="uk-UA"/>
        </w:rPr>
        <w:lastRenderedPageBreak/>
        <w:t>розгляду проекту реєстр. № 2285-д, у тому числі з метою коректного застосування термінології та, відповідно, забезпечення повноти регулювання відповідних суспільних відносин та передбачити, що  він набирає чинності з дня набрання чинності Законом України «Про державне регулювання діяльності щодо організації та проведення азартних ігор».</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b/>
          <w:i/>
          <w:sz w:val="28"/>
          <w:szCs w:val="28"/>
          <w:lang w:val="uk-UA"/>
        </w:rPr>
        <w:t>Комітет Верховної Ради України з питань бюджету</w:t>
      </w:r>
      <w:r w:rsidRPr="002311AD">
        <w:rPr>
          <w:rFonts w:ascii="Times New Roman" w:hAnsi="Times New Roman"/>
          <w:sz w:val="28"/>
          <w:szCs w:val="28"/>
          <w:lang w:val="uk-UA"/>
        </w:rPr>
        <w:t xml:space="preserve"> у своєму висновку зазначає, що законопроект матиме </w:t>
      </w:r>
      <w:r w:rsidRPr="002311AD">
        <w:rPr>
          <w:rFonts w:ascii="Times New Roman" w:hAnsi="Times New Roman"/>
          <w:bCs/>
          <w:iCs/>
          <w:sz w:val="28"/>
          <w:szCs w:val="28"/>
          <w:lang w:val="uk-UA"/>
        </w:rPr>
        <w:t xml:space="preserve">вплив </w:t>
      </w:r>
      <w:r w:rsidRPr="002311AD">
        <w:rPr>
          <w:rFonts w:ascii="Times New Roman" w:hAnsi="Times New Roman"/>
          <w:sz w:val="28"/>
          <w:szCs w:val="28"/>
          <w:lang w:val="uk-UA"/>
        </w:rPr>
        <w:t>на показники бюджету (призведе до зміни показників доходів бюджетів залежно від практики застосування даної законодавчої ініціативи).</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Згідно з проектом висновку, надісланим Міністерством фінансів України на виконання доручення Прем’єр-міністра України, законопроект не підтримується.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Оскільки законопроекти №№ 2713, 2713-1, 2713-2, 2713-3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Пункти 1 і 2 частини першої статті 12 Закону України «Про комітети Верховної Ради України» визначають, що законопроектна функція комітетів, зокрема, полягає в розробці проектів законів та у попередньому розгляді та підготовці висновків і пропозицій щодо законопроектів, внесених суб'єктами законодавчої ініціативи на розгляд Верховної Ради. При цьому пункт 1 частини першої статті 15 названого Закону України надає Комітету 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членами Комітету за його рішенням.</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 xml:space="preserve">Під час засідання Комітету було проведено обговорення підготовленого нового проекту </w:t>
      </w:r>
      <w:r w:rsidRPr="002311AD">
        <w:rPr>
          <w:rFonts w:ascii="Times New Roman" w:hAnsi="Times New Roman"/>
          <w:bCs/>
          <w:sz w:val="28"/>
          <w:szCs w:val="28"/>
          <w:lang w:val="uk-UA"/>
        </w:rPr>
        <w:t>про внесення змін до Податкового кодексу України щодо оподаткування доходів від організації та проведення азартних ігор</w:t>
      </w:r>
      <w:r w:rsidRPr="002311AD">
        <w:rPr>
          <w:rFonts w:ascii="Times New Roman" w:hAnsi="Times New Roman"/>
          <w:sz w:val="28"/>
          <w:szCs w:val="28"/>
          <w:lang w:val="uk-UA"/>
        </w:rPr>
        <w:t xml:space="preserve">, що було доопрацьованого у Комітеті як компромісна редакція на основі законопроектів №№ 2713, 2713-1, 2713-2, 2713-3 та згідно з іншими зауваженнями та пропозиціями щодо цих законопроектів.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b/>
          <w:sz w:val="28"/>
          <w:szCs w:val="28"/>
          <w:lang w:val="uk-UA"/>
        </w:rPr>
        <w:t>Новим законопроектом</w:t>
      </w:r>
      <w:r w:rsidRPr="002311AD">
        <w:rPr>
          <w:rFonts w:ascii="Times New Roman" w:hAnsi="Times New Roman"/>
          <w:sz w:val="28"/>
          <w:szCs w:val="28"/>
          <w:lang w:val="uk-UA"/>
        </w:rPr>
        <w:t xml:space="preserve"> пропонується: встановити ставку податку на дохід (валовий ігровий дохід), отриманий від організації та проведення азартних ігор казино в мережі Інтернет та ігор в покер в мережі Інтернет в розмірі 10%, для діяльності з організації та проведення азартних ігор у казино та залах гральних автоматів – 12,5%, для букмекерської діяльності – 5%,  випуску та проведення лотерей – 10%.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lastRenderedPageBreak/>
        <w:t>Крім податку на дохід, законопроектом передбачається, що суб’єкти господарювання, які здійснюють діяльність з організації та проведення азартних ігор, сплачуватимусь також податок на прибуток за загальною ставкою 18%. При цьому нарахований суб’єктом податок на дохід від такої діяльності є різницею та зменшує фінансовий результат до оподаткування такого суб’єкта.</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При здійсненні організаторами азартних ігор іншої діяльності передбачається нарахування та сплата ними податку на прибуток за базовою (основною) ставкою податку.</w:t>
      </w:r>
    </w:p>
    <w:p w:rsidR="00827679" w:rsidRPr="002311AD" w:rsidRDefault="00827679" w:rsidP="00827679">
      <w:pPr>
        <w:spacing w:before="120" w:line="240" w:lineRule="auto"/>
        <w:ind w:firstLine="539"/>
        <w:jc w:val="both"/>
        <w:rPr>
          <w:rFonts w:ascii="Times New Roman" w:hAnsi="Times New Roman"/>
          <w:sz w:val="28"/>
          <w:szCs w:val="28"/>
          <w:lang w:val="uk-UA" w:eastAsia="uk-UA"/>
        </w:rPr>
      </w:pPr>
      <w:r w:rsidRPr="002311AD">
        <w:rPr>
          <w:rFonts w:ascii="Times New Roman" w:hAnsi="Times New Roman"/>
          <w:sz w:val="28"/>
          <w:szCs w:val="28"/>
          <w:lang w:val="uk-UA"/>
        </w:rPr>
        <w:t xml:space="preserve">Поряд з цим, проектом передбачається, що виграші в азартні ігри та лотереї  звільняються від оподаткування податком на доходи фізичних осіб та військовим збором. </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Під час розгляду на засіданні Комітету відбулось погодження запропонованої редакції з можливістю подальшого врахування конструктивних зауважень та пропозицій суб'єктів законодавчої ініціативи.</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За наслідками розгляду та обговорення доопрацьованого законопроекту, з огляду на викладене вище, Комітет вирішив підтримати редакцію</w:t>
      </w:r>
      <w:r w:rsidRPr="002311AD">
        <w:rPr>
          <w:sz w:val="28"/>
          <w:szCs w:val="28"/>
          <w:lang w:val="uk-UA"/>
        </w:rPr>
        <w:t xml:space="preserve"> цього</w:t>
      </w:r>
      <w:r w:rsidRPr="002311AD">
        <w:rPr>
          <w:rFonts w:ascii="Times New Roman" w:hAnsi="Times New Roman"/>
          <w:sz w:val="28"/>
          <w:szCs w:val="28"/>
          <w:lang w:val="uk-UA"/>
        </w:rPr>
        <w:t xml:space="preserve"> законопроекту, доручити народним депутатам України – членам Комітету оформити та в установленому порядку зареєструвати цей проект як проект Закону України про внесення змін до Податкового кодексу України щодо оподаткування доходів від діяльності з організації та проведення азартних ігор та лотерей.</w:t>
      </w:r>
    </w:p>
    <w:p w:rsidR="00827679" w:rsidRPr="002311AD" w:rsidRDefault="00827679" w:rsidP="00827679">
      <w:pPr>
        <w:spacing w:before="120" w:line="240" w:lineRule="auto"/>
        <w:ind w:firstLine="539"/>
        <w:jc w:val="both"/>
        <w:rPr>
          <w:rFonts w:ascii="Times New Roman" w:hAnsi="Times New Roman"/>
          <w:sz w:val="28"/>
          <w:szCs w:val="28"/>
          <w:lang w:val="uk-UA"/>
        </w:rPr>
      </w:pPr>
      <w:r w:rsidRPr="002311AD">
        <w:rPr>
          <w:rFonts w:ascii="Times New Roman" w:hAnsi="Times New Roman"/>
          <w:sz w:val="28"/>
          <w:szCs w:val="28"/>
          <w:lang w:val="uk-UA"/>
        </w:rPr>
        <w:t>Підготовлений Комітетом проект Закону України про внесення змін до Податкового кодексу України щодо оподаткування доходів від діяльності з організації та проведення азартних ігор та лотерей рекомендовано за наслідками розгляду в першому читанні прийняти за основу. Проект відповідної Постанови додається.</w:t>
      </w:r>
    </w:p>
    <w:p w:rsidR="00827679" w:rsidRPr="002311AD" w:rsidRDefault="00827679" w:rsidP="00827679">
      <w:pPr>
        <w:pStyle w:val="ad"/>
        <w:widowControl w:val="0"/>
        <w:spacing w:before="0" w:beforeAutospacing="0" w:after="0" w:afterAutospacing="0"/>
        <w:ind w:firstLine="720"/>
        <w:jc w:val="both"/>
        <w:rPr>
          <w:rFonts w:eastAsia="Calibri"/>
          <w:sz w:val="28"/>
          <w:szCs w:val="28"/>
          <w:lang w:eastAsia="en-US"/>
        </w:rPr>
      </w:pPr>
      <w:r w:rsidRPr="002311AD">
        <w:rPr>
          <w:rFonts w:eastAsia="Calibri"/>
          <w:sz w:val="28"/>
          <w:szCs w:val="28"/>
          <w:lang w:eastAsia="en-US"/>
        </w:rPr>
        <w:t xml:space="preserve">Доповідати позицію Комітету щодо цього питання доручено Голові підкомітету з питань організації та оподаткування грального бізнесу – народному депутату України </w:t>
      </w:r>
      <w:proofErr w:type="spellStart"/>
      <w:r w:rsidRPr="002311AD">
        <w:rPr>
          <w:rFonts w:eastAsia="Calibri"/>
          <w:sz w:val="28"/>
          <w:szCs w:val="28"/>
          <w:lang w:eastAsia="en-US"/>
        </w:rPr>
        <w:t>Марусяку</w:t>
      </w:r>
      <w:proofErr w:type="spellEnd"/>
      <w:r w:rsidRPr="002311AD">
        <w:rPr>
          <w:rFonts w:eastAsia="Calibri"/>
          <w:sz w:val="28"/>
          <w:szCs w:val="28"/>
          <w:lang w:eastAsia="en-US"/>
        </w:rPr>
        <w:t xml:space="preserve"> О.Р.</w:t>
      </w:r>
    </w:p>
    <w:p w:rsidR="00827679" w:rsidRPr="002311AD" w:rsidRDefault="00827679" w:rsidP="00827679">
      <w:pPr>
        <w:tabs>
          <w:tab w:val="left" w:pos="708"/>
        </w:tabs>
        <w:spacing w:after="0" w:line="240" w:lineRule="auto"/>
        <w:jc w:val="both"/>
        <w:rPr>
          <w:rFonts w:ascii="Times New Roman" w:hAnsi="Times New Roman"/>
          <w:b/>
          <w:bCs/>
          <w:sz w:val="28"/>
          <w:szCs w:val="28"/>
          <w:lang w:val="uk-UA"/>
        </w:rPr>
      </w:pPr>
    </w:p>
    <w:p w:rsidR="00827679" w:rsidRPr="002311AD" w:rsidRDefault="00827679" w:rsidP="00827679">
      <w:pPr>
        <w:tabs>
          <w:tab w:val="left" w:pos="708"/>
        </w:tabs>
        <w:spacing w:after="0" w:line="240" w:lineRule="auto"/>
        <w:ind w:firstLine="540"/>
        <w:jc w:val="both"/>
        <w:rPr>
          <w:rFonts w:ascii="Times New Roman" w:hAnsi="Times New Roman"/>
          <w:b/>
          <w:bCs/>
          <w:sz w:val="28"/>
          <w:szCs w:val="28"/>
          <w:lang w:val="uk-UA"/>
        </w:rPr>
      </w:pPr>
      <w:r w:rsidRPr="002311AD">
        <w:rPr>
          <w:rFonts w:ascii="Times New Roman" w:hAnsi="Times New Roman"/>
          <w:b/>
          <w:bCs/>
          <w:sz w:val="28"/>
          <w:szCs w:val="28"/>
          <w:lang w:val="uk-UA"/>
        </w:rPr>
        <w:t>Додатки:</w:t>
      </w:r>
    </w:p>
    <w:p w:rsidR="00827679" w:rsidRPr="002311AD" w:rsidRDefault="00827679" w:rsidP="00827679">
      <w:pPr>
        <w:numPr>
          <w:ilvl w:val="0"/>
          <w:numId w:val="1"/>
        </w:numPr>
        <w:tabs>
          <w:tab w:val="left" w:pos="1080"/>
        </w:tabs>
        <w:autoSpaceDE w:val="0"/>
        <w:autoSpaceDN w:val="0"/>
        <w:spacing w:after="0" w:line="240" w:lineRule="auto"/>
        <w:ind w:left="0" w:firstLine="540"/>
        <w:jc w:val="both"/>
        <w:rPr>
          <w:rFonts w:ascii="Times New Roman" w:hAnsi="Times New Roman"/>
          <w:sz w:val="28"/>
          <w:szCs w:val="28"/>
          <w:lang w:val="uk-UA"/>
        </w:rPr>
      </w:pPr>
      <w:r w:rsidRPr="002311AD">
        <w:rPr>
          <w:rFonts w:ascii="Times New Roman" w:hAnsi="Times New Roman"/>
          <w:sz w:val="28"/>
          <w:szCs w:val="28"/>
          <w:lang w:val="uk-UA"/>
        </w:rPr>
        <w:t xml:space="preserve">текст доопрацьованого законопроекту на 5 </w:t>
      </w:r>
      <w:proofErr w:type="spellStart"/>
      <w:r w:rsidRPr="002311AD">
        <w:rPr>
          <w:rFonts w:ascii="Times New Roman" w:hAnsi="Times New Roman"/>
          <w:sz w:val="28"/>
          <w:szCs w:val="28"/>
          <w:lang w:val="uk-UA"/>
        </w:rPr>
        <w:t>арк</w:t>
      </w:r>
      <w:proofErr w:type="spellEnd"/>
      <w:r w:rsidRPr="002311AD">
        <w:rPr>
          <w:rFonts w:ascii="Times New Roman" w:hAnsi="Times New Roman"/>
          <w:sz w:val="28"/>
          <w:szCs w:val="28"/>
          <w:lang w:val="uk-UA"/>
        </w:rPr>
        <w:t>.;</w:t>
      </w:r>
    </w:p>
    <w:p w:rsidR="00827679" w:rsidRDefault="00827679" w:rsidP="00827679">
      <w:pPr>
        <w:numPr>
          <w:ilvl w:val="0"/>
          <w:numId w:val="1"/>
        </w:numPr>
        <w:tabs>
          <w:tab w:val="left" w:pos="1080"/>
        </w:tabs>
        <w:autoSpaceDE w:val="0"/>
        <w:autoSpaceDN w:val="0"/>
        <w:spacing w:after="0" w:line="240" w:lineRule="auto"/>
        <w:ind w:left="0" w:firstLine="540"/>
        <w:jc w:val="both"/>
        <w:rPr>
          <w:rFonts w:ascii="Times New Roman" w:hAnsi="Times New Roman"/>
          <w:sz w:val="28"/>
          <w:szCs w:val="28"/>
          <w:lang w:val="uk-UA"/>
        </w:rPr>
      </w:pPr>
      <w:r w:rsidRPr="002311AD">
        <w:rPr>
          <w:rFonts w:ascii="Times New Roman" w:hAnsi="Times New Roman"/>
          <w:sz w:val="28"/>
          <w:szCs w:val="28"/>
          <w:lang w:val="uk-UA"/>
        </w:rPr>
        <w:t xml:space="preserve">порівняльна таблиця до доопрацьованого законопроекту на 12 </w:t>
      </w:r>
      <w:proofErr w:type="spellStart"/>
      <w:r w:rsidRPr="002311AD">
        <w:rPr>
          <w:rFonts w:ascii="Times New Roman" w:hAnsi="Times New Roman"/>
          <w:sz w:val="28"/>
          <w:szCs w:val="28"/>
          <w:lang w:val="uk-UA"/>
        </w:rPr>
        <w:t>арк</w:t>
      </w:r>
      <w:proofErr w:type="spellEnd"/>
      <w:r w:rsidRPr="002311AD">
        <w:rPr>
          <w:rFonts w:ascii="Times New Roman" w:hAnsi="Times New Roman"/>
          <w:sz w:val="28"/>
          <w:szCs w:val="28"/>
          <w:lang w:val="uk-UA"/>
        </w:rPr>
        <w:t>.;</w:t>
      </w:r>
    </w:p>
    <w:p w:rsidR="00827679" w:rsidRPr="002311AD" w:rsidRDefault="00827679" w:rsidP="00827679">
      <w:pPr>
        <w:numPr>
          <w:ilvl w:val="0"/>
          <w:numId w:val="1"/>
        </w:numPr>
        <w:tabs>
          <w:tab w:val="left" w:pos="1080"/>
        </w:tabs>
        <w:autoSpaceDE w:val="0"/>
        <w:autoSpaceDN w:val="0"/>
        <w:spacing w:after="0" w:line="240" w:lineRule="auto"/>
        <w:ind w:left="0" w:firstLine="540"/>
        <w:jc w:val="both"/>
        <w:rPr>
          <w:rFonts w:ascii="Times New Roman" w:hAnsi="Times New Roman"/>
          <w:sz w:val="28"/>
          <w:szCs w:val="28"/>
          <w:lang w:val="uk-UA"/>
        </w:rPr>
      </w:pPr>
      <w:r>
        <w:rPr>
          <w:rFonts w:ascii="Times New Roman" w:hAnsi="Times New Roman"/>
          <w:sz w:val="28"/>
          <w:szCs w:val="28"/>
          <w:lang w:val="uk-UA"/>
        </w:rPr>
        <w:t xml:space="preserve">пояснювальна записка на 3 </w:t>
      </w:r>
      <w:proofErr w:type="spellStart"/>
      <w:r>
        <w:rPr>
          <w:rFonts w:ascii="Times New Roman" w:hAnsi="Times New Roman"/>
          <w:sz w:val="28"/>
          <w:szCs w:val="28"/>
          <w:lang w:val="uk-UA"/>
        </w:rPr>
        <w:t>арк</w:t>
      </w:r>
      <w:proofErr w:type="spellEnd"/>
      <w:r>
        <w:rPr>
          <w:rFonts w:ascii="Times New Roman" w:hAnsi="Times New Roman"/>
          <w:sz w:val="28"/>
          <w:szCs w:val="28"/>
          <w:lang w:val="uk-UA"/>
        </w:rPr>
        <w:t>.</w:t>
      </w:r>
    </w:p>
    <w:p w:rsidR="00827679" w:rsidRPr="002311AD" w:rsidRDefault="00827679" w:rsidP="00827679">
      <w:pPr>
        <w:numPr>
          <w:ilvl w:val="0"/>
          <w:numId w:val="1"/>
        </w:numPr>
        <w:tabs>
          <w:tab w:val="left" w:pos="1080"/>
        </w:tabs>
        <w:autoSpaceDE w:val="0"/>
        <w:autoSpaceDN w:val="0"/>
        <w:spacing w:after="0" w:line="240" w:lineRule="auto"/>
        <w:ind w:left="0" w:firstLine="540"/>
        <w:jc w:val="both"/>
        <w:rPr>
          <w:rFonts w:ascii="Times New Roman" w:hAnsi="Times New Roman"/>
          <w:sz w:val="28"/>
          <w:szCs w:val="28"/>
          <w:lang w:val="uk-UA"/>
        </w:rPr>
      </w:pPr>
      <w:r w:rsidRPr="002311AD">
        <w:rPr>
          <w:rFonts w:ascii="Times New Roman" w:hAnsi="Times New Roman"/>
          <w:sz w:val="28"/>
          <w:szCs w:val="28"/>
          <w:lang w:val="uk-UA"/>
        </w:rPr>
        <w:t xml:space="preserve">проект Постанови Верховної Ради України на 1 </w:t>
      </w:r>
      <w:proofErr w:type="spellStart"/>
      <w:r w:rsidRPr="002311AD">
        <w:rPr>
          <w:rFonts w:ascii="Times New Roman" w:hAnsi="Times New Roman"/>
          <w:sz w:val="28"/>
          <w:szCs w:val="28"/>
          <w:lang w:val="uk-UA"/>
        </w:rPr>
        <w:t>арк</w:t>
      </w:r>
      <w:proofErr w:type="spellEnd"/>
      <w:r w:rsidRPr="002311AD">
        <w:rPr>
          <w:rFonts w:ascii="Times New Roman" w:hAnsi="Times New Roman"/>
          <w:sz w:val="28"/>
          <w:szCs w:val="28"/>
          <w:lang w:val="uk-UA"/>
        </w:rPr>
        <w:t>.;</w:t>
      </w:r>
    </w:p>
    <w:p w:rsidR="00827679" w:rsidRPr="002311AD" w:rsidRDefault="00827679" w:rsidP="00827679">
      <w:pPr>
        <w:numPr>
          <w:ilvl w:val="0"/>
          <w:numId w:val="1"/>
        </w:numPr>
        <w:tabs>
          <w:tab w:val="left" w:pos="1080"/>
        </w:tabs>
        <w:autoSpaceDE w:val="0"/>
        <w:autoSpaceDN w:val="0"/>
        <w:spacing w:after="0" w:line="240" w:lineRule="auto"/>
        <w:ind w:left="0" w:firstLine="540"/>
        <w:jc w:val="both"/>
        <w:rPr>
          <w:rFonts w:ascii="Times New Roman" w:hAnsi="Times New Roman"/>
          <w:sz w:val="28"/>
          <w:szCs w:val="28"/>
          <w:lang w:val="uk-UA"/>
        </w:rPr>
      </w:pPr>
      <w:r w:rsidRPr="002311AD">
        <w:rPr>
          <w:rFonts w:ascii="Times New Roman" w:hAnsi="Times New Roman"/>
          <w:sz w:val="28"/>
          <w:szCs w:val="28"/>
          <w:lang w:val="uk-UA"/>
        </w:rPr>
        <w:t>тексти зазначених документів в електронній формі.</w:t>
      </w:r>
    </w:p>
    <w:p w:rsidR="00827679" w:rsidRPr="002311AD" w:rsidRDefault="00827679" w:rsidP="00827679">
      <w:pPr>
        <w:tabs>
          <w:tab w:val="left" w:pos="1080"/>
        </w:tabs>
        <w:autoSpaceDE w:val="0"/>
        <w:autoSpaceDN w:val="0"/>
        <w:spacing w:after="0" w:line="240" w:lineRule="auto"/>
        <w:jc w:val="both"/>
        <w:rPr>
          <w:rFonts w:ascii="Times New Roman" w:hAnsi="Times New Roman"/>
          <w:sz w:val="28"/>
          <w:szCs w:val="28"/>
          <w:lang w:val="uk-U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827679" w:rsidRPr="002311AD" w:rsidTr="00E70ED3">
        <w:tc>
          <w:tcPr>
            <w:tcW w:w="4814" w:type="dxa"/>
          </w:tcPr>
          <w:p w:rsidR="00827679" w:rsidRPr="002311AD" w:rsidRDefault="00827679" w:rsidP="00E70ED3">
            <w:pPr>
              <w:spacing w:after="0" w:line="240" w:lineRule="auto"/>
              <w:rPr>
                <w:rFonts w:ascii="Times New Roman" w:hAnsi="Times New Roman"/>
                <w:sz w:val="28"/>
                <w:szCs w:val="28"/>
                <w:lang w:val="uk-UA"/>
              </w:rPr>
            </w:pPr>
            <w:r>
              <w:rPr>
                <w:rFonts w:ascii="Times New Roman" w:hAnsi="Times New Roman"/>
                <w:sz w:val="28"/>
                <w:szCs w:val="28"/>
                <w:lang w:val="uk-UA"/>
              </w:rPr>
              <w:t xml:space="preserve">Перший заступник Голови </w:t>
            </w:r>
            <w:r w:rsidRPr="002311AD">
              <w:rPr>
                <w:rFonts w:ascii="Times New Roman" w:hAnsi="Times New Roman"/>
                <w:sz w:val="28"/>
                <w:szCs w:val="28"/>
                <w:lang w:val="uk-UA"/>
              </w:rPr>
              <w:t xml:space="preserve"> Комітету Верховної Ради України з питань фінансів, </w:t>
            </w:r>
          </w:p>
          <w:p w:rsidR="00827679" w:rsidRPr="002311AD" w:rsidRDefault="00827679" w:rsidP="00E70ED3">
            <w:pPr>
              <w:spacing w:after="0" w:line="240" w:lineRule="auto"/>
              <w:rPr>
                <w:rFonts w:ascii="Times New Roman" w:hAnsi="Times New Roman"/>
                <w:sz w:val="28"/>
                <w:szCs w:val="28"/>
                <w:lang w:val="uk-UA"/>
              </w:rPr>
            </w:pPr>
            <w:r w:rsidRPr="002311AD">
              <w:rPr>
                <w:rFonts w:ascii="Times New Roman" w:hAnsi="Times New Roman"/>
                <w:sz w:val="28"/>
                <w:szCs w:val="28"/>
                <w:lang w:val="uk-UA"/>
              </w:rPr>
              <w:t>податкової та митної політики</w:t>
            </w:r>
          </w:p>
        </w:tc>
        <w:tc>
          <w:tcPr>
            <w:tcW w:w="4814" w:type="dxa"/>
          </w:tcPr>
          <w:p w:rsidR="00827679" w:rsidRPr="002311AD" w:rsidRDefault="00827679" w:rsidP="00E70ED3">
            <w:pPr>
              <w:spacing w:after="0" w:line="240" w:lineRule="auto"/>
              <w:jc w:val="right"/>
              <w:rPr>
                <w:rFonts w:ascii="Times New Roman" w:hAnsi="Times New Roman"/>
                <w:sz w:val="28"/>
                <w:szCs w:val="28"/>
                <w:lang w:val="uk-UA"/>
              </w:rPr>
            </w:pPr>
            <w:r>
              <w:rPr>
                <w:rFonts w:ascii="Times New Roman" w:hAnsi="Times New Roman"/>
                <w:b/>
                <w:sz w:val="28"/>
                <w:szCs w:val="28"/>
                <w:lang w:val="uk-UA"/>
              </w:rPr>
              <w:t xml:space="preserve">Я. І. </w:t>
            </w:r>
            <w:proofErr w:type="spellStart"/>
            <w:r>
              <w:rPr>
                <w:rFonts w:ascii="Times New Roman" w:hAnsi="Times New Roman"/>
                <w:b/>
                <w:sz w:val="28"/>
                <w:szCs w:val="28"/>
                <w:lang w:val="uk-UA"/>
              </w:rPr>
              <w:t>Железняк</w:t>
            </w:r>
            <w:proofErr w:type="spellEnd"/>
            <w:r>
              <w:rPr>
                <w:rFonts w:ascii="Times New Roman" w:hAnsi="Times New Roman"/>
                <w:b/>
                <w:sz w:val="28"/>
                <w:szCs w:val="28"/>
                <w:lang w:val="uk-UA"/>
              </w:rPr>
              <w:t xml:space="preserve"> </w:t>
            </w:r>
          </w:p>
        </w:tc>
      </w:tr>
    </w:tbl>
    <w:p w:rsidR="00A80C41" w:rsidRPr="00827679" w:rsidRDefault="00A80C41" w:rsidP="00827679">
      <w:pPr>
        <w:tabs>
          <w:tab w:val="left" w:pos="6240"/>
        </w:tabs>
        <w:rPr>
          <w:rFonts w:ascii="Times New Roman" w:hAnsi="Times New Roman"/>
          <w:sz w:val="28"/>
          <w:szCs w:val="28"/>
        </w:rPr>
      </w:pPr>
      <w:bookmarkStart w:id="2" w:name="_GoBack"/>
      <w:bookmarkEnd w:id="2"/>
    </w:p>
    <w:sectPr w:rsidR="00A80C41" w:rsidRPr="00827679" w:rsidSect="000C0063">
      <w:footerReference w:type="default" r:id="rId11"/>
      <w:headerReference w:type="first" r:id="rId12"/>
      <w:pgSz w:w="11906" w:h="16838"/>
      <w:pgMar w:top="1134" w:right="1134" w:bottom="1134"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4DE" w:rsidRDefault="003344DE" w:rsidP="005E306B">
      <w:pPr>
        <w:spacing w:after="0" w:line="240" w:lineRule="auto"/>
      </w:pPr>
      <w:r>
        <w:separator/>
      </w:r>
    </w:p>
  </w:endnote>
  <w:endnote w:type="continuationSeparator" w:id="0">
    <w:p w:rsidR="003344DE" w:rsidRDefault="003344D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4411255"/>
      <w:docPartObj>
        <w:docPartGallery w:val="Page Numbers (Bottom of Page)"/>
        <w:docPartUnique/>
      </w:docPartObj>
    </w:sdtPr>
    <w:sdtEndPr/>
    <w:sdtContent>
      <w:p w:rsidR="00112D8A" w:rsidRDefault="00112D8A">
        <w:pPr>
          <w:pStyle w:val="a5"/>
          <w:jc w:val="right"/>
        </w:pPr>
        <w:r>
          <w:fldChar w:fldCharType="begin"/>
        </w:r>
        <w:r>
          <w:instrText>PAGE   \* MERGEFORMAT</w:instrText>
        </w:r>
        <w:r>
          <w:fldChar w:fldCharType="separate"/>
        </w:r>
        <w:r w:rsidR="00827679" w:rsidRPr="00827679">
          <w:rPr>
            <w:noProof/>
            <w:lang w:val="uk-UA"/>
          </w:rPr>
          <w:t>5</w:t>
        </w:r>
        <w:r>
          <w:fldChar w:fldCharType="end"/>
        </w:r>
      </w:p>
    </w:sdtContent>
  </w:sdt>
  <w:p w:rsidR="00112D8A" w:rsidRDefault="00112D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4DE" w:rsidRDefault="003344DE" w:rsidP="005E306B">
      <w:pPr>
        <w:spacing w:after="0" w:line="240" w:lineRule="auto"/>
      </w:pPr>
      <w:r>
        <w:separator/>
      </w:r>
    </w:p>
  </w:footnote>
  <w:footnote w:type="continuationSeparator" w:id="0">
    <w:p w:rsidR="003344DE" w:rsidRDefault="003344D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32"/>
    </w:tblGrid>
    <w:tr w:rsidR="00CE6A4B" w:rsidRPr="00AD7F82" w:rsidTr="000C0063">
      <w:tc>
        <w:tcPr>
          <w:tcW w:w="10632" w:type="dxa"/>
          <w:tcBorders>
            <w:top w:val="nil"/>
            <w:left w:val="nil"/>
            <w:bottom w:val="nil"/>
            <w:right w:val="nil"/>
          </w:tcBorders>
        </w:tcPr>
        <w:p w:rsidR="00C27AE9" w:rsidRPr="00C86266" w:rsidRDefault="00C27AE9" w:rsidP="000C0063">
          <w:pPr>
            <w:pStyle w:val="a3"/>
            <w:tabs>
              <w:tab w:val="clear" w:pos="4677"/>
              <w:tab w:val="clear" w:pos="9355"/>
            </w:tabs>
            <w:spacing w:before="160" w:after="60"/>
            <w:jc w:val="center"/>
            <w:rPr>
              <w:color w:val="002060"/>
              <w:sz w:val="20"/>
              <w:szCs w:val="2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F731E5D"/>
    <w:multiLevelType w:val="hybridMultilevel"/>
    <w:tmpl w:val="ECF8A620"/>
    <w:lvl w:ilvl="0" w:tplc="80B633EA">
      <w:start w:val="1"/>
      <w:numFmt w:val="decimal"/>
      <w:lvlText w:val="%1."/>
      <w:lvlJc w:val="left"/>
      <w:pPr>
        <w:ind w:left="899" w:hanging="360"/>
      </w:pPr>
      <w:rPr>
        <w:rFonts w:hint="default"/>
        <w:b w:val="0"/>
      </w:rPr>
    </w:lvl>
    <w:lvl w:ilvl="1" w:tplc="04220019" w:tentative="1">
      <w:start w:val="1"/>
      <w:numFmt w:val="lowerLetter"/>
      <w:lvlText w:val="%2."/>
      <w:lvlJc w:val="left"/>
      <w:pPr>
        <w:ind w:left="1619" w:hanging="360"/>
      </w:pPr>
    </w:lvl>
    <w:lvl w:ilvl="2" w:tplc="0422001B" w:tentative="1">
      <w:start w:val="1"/>
      <w:numFmt w:val="lowerRoman"/>
      <w:lvlText w:val="%3."/>
      <w:lvlJc w:val="right"/>
      <w:pPr>
        <w:ind w:left="2339" w:hanging="180"/>
      </w:pPr>
    </w:lvl>
    <w:lvl w:ilvl="3" w:tplc="0422000F" w:tentative="1">
      <w:start w:val="1"/>
      <w:numFmt w:val="decimal"/>
      <w:lvlText w:val="%4."/>
      <w:lvlJc w:val="left"/>
      <w:pPr>
        <w:ind w:left="3059" w:hanging="360"/>
      </w:pPr>
    </w:lvl>
    <w:lvl w:ilvl="4" w:tplc="04220019" w:tentative="1">
      <w:start w:val="1"/>
      <w:numFmt w:val="lowerLetter"/>
      <w:lvlText w:val="%5."/>
      <w:lvlJc w:val="left"/>
      <w:pPr>
        <w:ind w:left="3779" w:hanging="360"/>
      </w:pPr>
    </w:lvl>
    <w:lvl w:ilvl="5" w:tplc="0422001B" w:tentative="1">
      <w:start w:val="1"/>
      <w:numFmt w:val="lowerRoman"/>
      <w:lvlText w:val="%6."/>
      <w:lvlJc w:val="right"/>
      <w:pPr>
        <w:ind w:left="4499" w:hanging="180"/>
      </w:pPr>
    </w:lvl>
    <w:lvl w:ilvl="6" w:tplc="0422000F" w:tentative="1">
      <w:start w:val="1"/>
      <w:numFmt w:val="decimal"/>
      <w:lvlText w:val="%7."/>
      <w:lvlJc w:val="left"/>
      <w:pPr>
        <w:ind w:left="5219" w:hanging="360"/>
      </w:pPr>
    </w:lvl>
    <w:lvl w:ilvl="7" w:tplc="04220019" w:tentative="1">
      <w:start w:val="1"/>
      <w:numFmt w:val="lowerLetter"/>
      <w:lvlText w:val="%8."/>
      <w:lvlJc w:val="left"/>
      <w:pPr>
        <w:ind w:left="5939" w:hanging="360"/>
      </w:pPr>
    </w:lvl>
    <w:lvl w:ilvl="8" w:tplc="0422001B" w:tentative="1">
      <w:start w:val="1"/>
      <w:numFmt w:val="lowerRoman"/>
      <w:lvlText w:val="%9."/>
      <w:lvlJc w:val="right"/>
      <w:pPr>
        <w:ind w:left="665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61100"/>
    <w:rsid w:val="000C0063"/>
    <w:rsid w:val="000E0F8A"/>
    <w:rsid w:val="000E18E0"/>
    <w:rsid w:val="000F1586"/>
    <w:rsid w:val="00112D8A"/>
    <w:rsid w:val="00141617"/>
    <w:rsid w:val="0019108F"/>
    <w:rsid w:val="001966F0"/>
    <w:rsid w:val="001D3C24"/>
    <w:rsid w:val="001F3F38"/>
    <w:rsid w:val="0021032F"/>
    <w:rsid w:val="00222A12"/>
    <w:rsid w:val="00235CD7"/>
    <w:rsid w:val="002A5D4C"/>
    <w:rsid w:val="002B5FC1"/>
    <w:rsid w:val="002C1366"/>
    <w:rsid w:val="002C2754"/>
    <w:rsid w:val="002D0561"/>
    <w:rsid w:val="002D6A9A"/>
    <w:rsid w:val="002E0A18"/>
    <w:rsid w:val="002E31BF"/>
    <w:rsid w:val="002E44DA"/>
    <w:rsid w:val="003344DE"/>
    <w:rsid w:val="00340E70"/>
    <w:rsid w:val="00341227"/>
    <w:rsid w:val="0038554B"/>
    <w:rsid w:val="003A554E"/>
    <w:rsid w:val="003B5258"/>
    <w:rsid w:val="003C7BF5"/>
    <w:rsid w:val="003D1CBA"/>
    <w:rsid w:val="00435104"/>
    <w:rsid w:val="00451750"/>
    <w:rsid w:val="00461E92"/>
    <w:rsid w:val="00477A5B"/>
    <w:rsid w:val="004852FA"/>
    <w:rsid w:val="004B44B7"/>
    <w:rsid w:val="004E4F5C"/>
    <w:rsid w:val="004F7B8A"/>
    <w:rsid w:val="0050620F"/>
    <w:rsid w:val="0055005A"/>
    <w:rsid w:val="0056039F"/>
    <w:rsid w:val="0056352F"/>
    <w:rsid w:val="00587169"/>
    <w:rsid w:val="005A4728"/>
    <w:rsid w:val="005B71F5"/>
    <w:rsid w:val="005E306B"/>
    <w:rsid w:val="005F20B5"/>
    <w:rsid w:val="00626A3E"/>
    <w:rsid w:val="006312B2"/>
    <w:rsid w:val="00660B13"/>
    <w:rsid w:val="006610A3"/>
    <w:rsid w:val="0066623D"/>
    <w:rsid w:val="006F10E8"/>
    <w:rsid w:val="00701904"/>
    <w:rsid w:val="00704020"/>
    <w:rsid w:val="00713E93"/>
    <w:rsid w:val="0073224C"/>
    <w:rsid w:val="00797A35"/>
    <w:rsid w:val="007D5ABA"/>
    <w:rsid w:val="007F5D91"/>
    <w:rsid w:val="0080545D"/>
    <w:rsid w:val="00827679"/>
    <w:rsid w:val="008679E8"/>
    <w:rsid w:val="008E7498"/>
    <w:rsid w:val="008F1367"/>
    <w:rsid w:val="00945B68"/>
    <w:rsid w:val="00957D31"/>
    <w:rsid w:val="009A720A"/>
    <w:rsid w:val="009D4C9C"/>
    <w:rsid w:val="00A00059"/>
    <w:rsid w:val="00A60747"/>
    <w:rsid w:val="00A75EF8"/>
    <w:rsid w:val="00A7635E"/>
    <w:rsid w:val="00A80C41"/>
    <w:rsid w:val="00A833C8"/>
    <w:rsid w:val="00AB14EE"/>
    <w:rsid w:val="00AD7F82"/>
    <w:rsid w:val="00AE167F"/>
    <w:rsid w:val="00B311E8"/>
    <w:rsid w:val="00B54864"/>
    <w:rsid w:val="00BD0801"/>
    <w:rsid w:val="00BF1E95"/>
    <w:rsid w:val="00BF7E27"/>
    <w:rsid w:val="00C11FB6"/>
    <w:rsid w:val="00C27AE9"/>
    <w:rsid w:val="00C30CEB"/>
    <w:rsid w:val="00C86266"/>
    <w:rsid w:val="00CA7044"/>
    <w:rsid w:val="00CC39A1"/>
    <w:rsid w:val="00CD4A38"/>
    <w:rsid w:val="00CE3E1B"/>
    <w:rsid w:val="00CE6A4B"/>
    <w:rsid w:val="00D242C2"/>
    <w:rsid w:val="00D37FA2"/>
    <w:rsid w:val="00D52549"/>
    <w:rsid w:val="00D57E1B"/>
    <w:rsid w:val="00D64ECD"/>
    <w:rsid w:val="00D83D51"/>
    <w:rsid w:val="00DB4284"/>
    <w:rsid w:val="00DF0115"/>
    <w:rsid w:val="00E36874"/>
    <w:rsid w:val="00E71E51"/>
    <w:rsid w:val="00E7734C"/>
    <w:rsid w:val="00E979EE"/>
    <w:rsid w:val="00F55423"/>
    <w:rsid w:val="00F5667C"/>
    <w:rsid w:val="00F91DD3"/>
    <w:rsid w:val="00FB1B5A"/>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B2AA1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E979EE"/>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aliases w:val="Подпись к рис.,Ïîäïèñü ê ðèñ."/>
    <w:basedOn w:val="a"/>
    <w:link w:val="ac"/>
    <w:rsid w:val="00341227"/>
    <w:pPr>
      <w:spacing w:after="0" w:line="240" w:lineRule="auto"/>
      <w:ind w:firstLine="540"/>
      <w:jc w:val="both"/>
    </w:pPr>
    <w:rPr>
      <w:rFonts w:ascii="Times New Roman" w:eastAsia="Times New Roman" w:hAnsi="Times New Roman"/>
      <w:sz w:val="28"/>
      <w:szCs w:val="20"/>
      <w:lang w:val="uk-UA" w:eastAsia="ru-RU"/>
    </w:rPr>
  </w:style>
  <w:style w:type="character" w:customStyle="1" w:styleId="ac">
    <w:name w:val="Основний текст з відступом Знак"/>
    <w:aliases w:val="Подпись к рис. Знак,Ïîäïèñü ê ðèñ. Знак"/>
    <w:basedOn w:val="a0"/>
    <w:link w:val="ab"/>
    <w:rsid w:val="00341227"/>
    <w:rPr>
      <w:rFonts w:ascii="Times New Roman" w:eastAsia="Times New Roman" w:hAnsi="Times New Roman"/>
      <w:sz w:val="28"/>
      <w:szCs w:val="20"/>
      <w:lang w:val="uk-UA" w:eastAsia="ru-RU"/>
    </w:rPr>
  </w:style>
  <w:style w:type="paragraph" w:styleId="31">
    <w:name w:val="Body Text Indent 3"/>
    <w:basedOn w:val="a"/>
    <w:link w:val="32"/>
    <w:rsid w:val="00341227"/>
    <w:pPr>
      <w:spacing w:after="0" w:line="240" w:lineRule="auto"/>
      <w:ind w:firstLine="540"/>
      <w:jc w:val="both"/>
    </w:pPr>
    <w:rPr>
      <w:rFonts w:ascii="Times New Roman" w:eastAsia="Times New Roman" w:hAnsi="Times New Roman"/>
      <w:sz w:val="24"/>
      <w:szCs w:val="24"/>
      <w:lang w:val="uk-UA" w:eastAsia="ru-RU"/>
    </w:rPr>
  </w:style>
  <w:style w:type="character" w:customStyle="1" w:styleId="32">
    <w:name w:val="Основний текст з відступом 3 Знак"/>
    <w:basedOn w:val="a0"/>
    <w:link w:val="31"/>
    <w:rsid w:val="00341227"/>
    <w:rPr>
      <w:rFonts w:ascii="Times New Roman" w:eastAsia="Times New Roman" w:hAnsi="Times New Roman"/>
      <w:sz w:val="24"/>
      <w:szCs w:val="24"/>
      <w:lang w:val="uk-UA" w:eastAsia="ru-RU"/>
    </w:rPr>
  </w:style>
  <w:style w:type="character" w:customStyle="1" w:styleId="30">
    <w:name w:val="Заголовок 3 Знак"/>
    <w:basedOn w:val="a0"/>
    <w:link w:val="3"/>
    <w:uiPriority w:val="9"/>
    <w:rsid w:val="00E979EE"/>
    <w:rPr>
      <w:rFonts w:ascii="Times New Roman" w:eastAsia="Times New Roman" w:hAnsi="Times New Roman"/>
      <w:b/>
      <w:bCs/>
      <w:sz w:val="27"/>
      <w:szCs w:val="27"/>
      <w:lang w:val="uk-UA" w:eastAsia="uk-UA"/>
    </w:rPr>
  </w:style>
  <w:style w:type="paragraph" w:styleId="ad">
    <w:name w:val="Normal (Web)"/>
    <w:aliases w:val="л‡ћЦ’ћЋ (‰Њ‡) ‚’Ђђ,‚’Ђђ1 ‚’Ђђ,‚’Ђђ1,‚’Ђђ1 ‚’Ђђ ‚’Ђђ ‚’Ђђ ‚’Ђђ ‚’Ђђ ‚’Ђђ ‚’Ђђ,‚’Ђђ1 ‚’Ђђ ‚’Ђђ ‚’Ђђ,л‡ћЦ’ћЋ (‰Њ‡) ‚’€ђ2,л‡ћЦ’ћЋ (‰Њ‡) ‚’Ђђ1 ‚’Ђђ,л‡ћЦ’ћЋ (‰Њ‡) ‚’Ђђ ‚’Ђђ ‚’Ђђ,‚’Ђђ1 ‚’Ђђ1 ‚’Ђђ,‚’Ђђ1 ‚’Ђђ1 ‚’Ђђ ‚’Ђђ ‚’Ђђ ‚’Ђђ,‚’Ђђ"/>
    <w:basedOn w:val="a"/>
    <w:link w:val="ae"/>
    <w:uiPriority w:val="99"/>
    <w:unhideWhenUsed/>
    <w:rsid w:val="00A80C41"/>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e">
    <w:name w:val="Звичайний (веб) Знак"/>
    <w:aliases w:val="л‡ћЦ’ћЋ (‰Њ‡) ‚’Ђђ Знак,‚’Ђђ1 ‚’Ђђ Знак,‚’Ђђ1 Знак,‚’Ђђ1 ‚’Ђђ ‚’Ђђ ‚’Ђђ ‚’Ђђ ‚’Ђђ ‚’Ђђ ‚’Ђђ Знак,‚’Ђђ1 ‚’Ђђ ‚’Ђђ ‚’Ђђ Знак,л‡ћЦ’ћЋ (‰Њ‡) ‚’€ђ2 Знак,л‡ћЦ’ћЋ (‰Њ‡) ‚’Ђђ1 ‚’Ђђ Знак,л‡ћЦ’ћЋ (‰Њ‡) ‚’Ђђ ‚’Ђђ ‚’Ђђ Знак,‚’Ђђ Знак"/>
    <w:basedOn w:val="a0"/>
    <w:link w:val="ad"/>
    <w:uiPriority w:val="99"/>
    <w:locked/>
    <w:rsid w:val="00A80C41"/>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3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C1826-0FB5-4680-B0A9-DBA67356B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E0A62C-52D5-4AA1-8D14-36C5100BF27F}">
  <ds:schemaRefs>
    <ds:schemaRef ds:uri="http://schemas.microsoft.com/sharepoint/v3/contenttype/forms"/>
  </ds:schemaRefs>
</ds:datastoreItem>
</file>

<file path=customXml/itemProps3.xml><?xml version="1.0" encoding="utf-8"?>
<ds:datastoreItem xmlns:ds="http://schemas.openxmlformats.org/officeDocument/2006/customXml" ds:itemID="{D7F119AF-2F31-4FD2-85C5-0950EA4ACC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9208B8-B4CC-4A96-BFEB-6A7B1F5EF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7807</Words>
  <Characters>4451</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Топорецька Зоряна Миколаївна</dc:creator>
  <cp:keywords/>
  <dc:description/>
  <cp:lastModifiedBy>Топорецька Зоряна Миколаївна</cp:lastModifiedBy>
  <cp:revision>3</cp:revision>
  <dcterms:created xsi:type="dcterms:W3CDTF">2020-06-19T08:10:00Z</dcterms:created>
  <dcterms:modified xsi:type="dcterms:W3CDTF">2020-06-19T08:14:00Z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