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1C8E" w:rsidRPr="00151C8E" w:rsidRDefault="00151C8E">
      <w:pPr>
        <w:widowControl w:val="0"/>
        <w:autoSpaceDE w:val="0"/>
        <w:autoSpaceDN w:val="0"/>
        <w:adjustRightInd w:val="0"/>
        <w:ind w:right="-6"/>
        <w:jc w:val="center"/>
        <w:rPr>
          <w:rFonts w:ascii="Times New Roman" w:hAnsi="Times New Roman" w:cs="Times New Roman"/>
          <w:b/>
          <w:bCs/>
          <w:sz w:val="28"/>
          <w:szCs w:val="28"/>
          <w:lang w:val="uk-UA"/>
        </w:rPr>
      </w:pPr>
      <w:r w:rsidRPr="00151C8E">
        <w:rPr>
          <w:rFonts w:ascii="Times New Roman" w:hAnsi="Times New Roman" w:cs="Times New Roman"/>
          <w:b/>
          <w:bCs/>
          <w:sz w:val="28"/>
          <w:szCs w:val="28"/>
          <w:lang w:val="uk-UA"/>
        </w:rPr>
        <w:t>ПОЯСНЮВАЛЬНА ЗАПИСКА</w:t>
      </w:r>
    </w:p>
    <w:p w:rsidR="00151C8E" w:rsidRPr="00151C8E" w:rsidRDefault="00151C8E">
      <w:pPr>
        <w:widowControl w:val="0"/>
        <w:autoSpaceDE w:val="0"/>
        <w:autoSpaceDN w:val="0"/>
        <w:adjustRightInd w:val="0"/>
        <w:ind w:right="-6"/>
        <w:jc w:val="center"/>
        <w:rPr>
          <w:rFonts w:ascii="Times New Roman" w:hAnsi="Times New Roman" w:cs="Times New Roman"/>
          <w:b/>
          <w:bCs/>
          <w:sz w:val="28"/>
          <w:szCs w:val="28"/>
          <w:lang w:val="uk-UA"/>
        </w:rPr>
      </w:pPr>
    </w:p>
    <w:p w:rsidR="00151C8E" w:rsidRPr="00151C8E" w:rsidRDefault="00151C8E">
      <w:pPr>
        <w:widowControl w:val="0"/>
        <w:autoSpaceDE w:val="0"/>
        <w:autoSpaceDN w:val="0"/>
        <w:adjustRightInd w:val="0"/>
        <w:ind w:right="-6"/>
        <w:jc w:val="center"/>
        <w:rPr>
          <w:rFonts w:ascii="Times New Roman" w:hAnsi="Times New Roman" w:cs="Times New Roman"/>
          <w:b/>
          <w:sz w:val="28"/>
          <w:szCs w:val="28"/>
          <w:lang w:val="uk-UA"/>
        </w:rPr>
      </w:pPr>
      <w:r w:rsidRPr="00151C8E">
        <w:rPr>
          <w:rFonts w:ascii="Times New Roman" w:hAnsi="Times New Roman" w:cs="Times New Roman"/>
          <w:b/>
          <w:sz w:val="28"/>
          <w:szCs w:val="28"/>
          <w:lang w:val="uk-UA"/>
        </w:rPr>
        <w:t>до проекту Закону України «Про внесення змін до Кримінального процесуального кодексу України та Кримінального кодексу України (щодо вдосконалення порядку застосування окремих заходів забезпечення кримінального провадження)»</w:t>
      </w:r>
    </w:p>
    <w:p w:rsidR="00151C8E" w:rsidRPr="00151C8E" w:rsidRDefault="00151C8E">
      <w:pPr>
        <w:widowControl w:val="0"/>
        <w:autoSpaceDE w:val="0"/>
        <w:autoSpaceDN w:val="0"/>
        <w:adjustRightInd w:val="0"/>
        <w:ind w:right="-6" w:firstLine="709"/>
        <w:rPr>
          <w:rFonts w:ascii="Times New Roman" w:hAnsi="Times New Roman" w:cs="Times New Roman"/>
          <w:sz w:val="28"/>
          <w:szCs w:val="28"/>
          <w:lang w:val="uk-UA"/>
        </w:rPr>
      </w:pPr>
    </w:p>
    <w:p w:rsidR="00151C8E" w:rsidRPr="00151C8E" w:rsidRDefault="00151C8E">
      <w:pPr>
        <w:widowControl w:val="0"/>
        <w:autoSpaceDE w:val="0"/>
        <w:autoSpaceDN w:val="0"/>
        <w:adjustRightInd w:val="0"/>
        <w:ind w:right="-6" w:firstLine="709"/>
        <w:rPr>
          <w:rFonts w:ascii="Times New Roman" w:hAnsi="Times New Roman" w:cs="Times New Roman"/>
          <w:sz w:val="28"/>
          <w:szCs w:val="28"/>
          <w:lang w:val="uk-UA"/>
        </w:rPr>
      </w:pPr>
    </w:p>
    <w:p w:rsidR="00151C8E" w:rsidRPr="00151C8E" w:rsidRDefault="00151C8E" w:rsidP="00E95425">
      <w:pPr>
        <w:widowControl w:val="0"/>
        <w:numPr>
          <w:ilvl w:val="0"/>
          <w:numId w:val="1"/>
        </w:numPr>
        <w:tabs>
          <w:tab w:val="left" w:pos="993"/>
          <w:tab w:val="left" w:pos="1411"/>
        </w:tabs>
        <w:autoSpaceDE w:val="0"/>
        <w:autoSpaceDN w:val="0"/>
        <w:adjustRightInd w:val="0"/>
        <w:ind w:left="0" w:right="-6" w:firstLine="709"/>
        <w:rPr>
          <w:rFonts w:ascii="Times New Roman" w:hAnsi="Times New Roman" w:cs="Times New Roman"/>
          <w:b/>
          <w:bCs/>
          <w:sz w:val="28"/>
          <w:szCs w:val="28"/>
          <w:lang w:val="uk-UA"/>
        </w:rPr>
      </w:pPr>
      <w:r w:rsidRPr="00151C8E">
        <w:rPr>
          <w:rFonts w:ascii="Times New Roman" w:hAnsi="Times New Roman" w:cs="Times New Roman"/>
          <w:b/>
          <w:bCs/>
          <w:sz w:val="28"/>
          <w:szCs w:val="28"/>
          <w:lang w:val="uk-UA"/>
        </w:rPr>
        <w:t>Обґрунтування необхідності прийняття акта</w:t>
      </w:r>
    </w:p>
    <w:p w:rsidR="00151C8E" w:rsidRPr="00151C8E" w:rsidRDefault="00151C8E">
      <w:pPr>
        <w:widowControl w:val="0"/>
        <w:tabs>
          <w:tab w:val="left" w:pos="993"/>
        </w:tabs>
        <w:autoSpaceDE w:val="0"/>
        <w:autoSpaceDN w:val="0"/>
        <w:adjustRightInd w:val="0"/>
        <w:ind w:left="709" w:right="-6"/>
        <w:rPr>
          <w:rFonts w:ascii="Times New Roman" w:hAnsi="Times New Roman" w:cs="Times New Roman"/>
          <w:b/>
          <w:bCs/>
          <w:sz w:val="28"/>
          <w:szCs w:val="28"/>
          <w:lang w:val="uk-UA"/>
        </w:rPr>
      </w:pPr>
    </w:p>
    <w:p w:rsidR="00151C8E" w:rsidRPr="00151C8E" w:rsidRDefault="00151C8E">
      <w:pPr>
        <w:widowControl w:val="0"/>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Однією з головних і найбільш болючих проблем, що турбують наразі ІТ галузь, є постійна загроза безпеці ведення бізнесу в Україні, яка виникає через періодичне втручання, і навіть відвертий тиск, зі сторони держави (передусім правоохоронних органів). Зазначене, врешті, утворює несприятливі економічні умови для української ІТ індустрії та стримує прихід до нас інвестиційно привабливих зарубіжних компаній. У свою чергу, це не просто заважає веденню бізнесу в Україні, а зумовлює, що найбільш прикро, виведення вітчизняних трудових ресурсів і капіталу за кордон.</w:t>
      </w:r>
    </w:p>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З метою підвищення позиції України у рейтингу Doing Business, Верховною Радою України було прийнято Закон України від 12 лютого 2015 року № 191-VIII «Про внесення змін до деяких законодавчих актів України щодо спрощення умов ведення бізнесу (дерегуляція)» (так званий «Маски-шоу стоп-1»), яким, серед іншого, статті 159 та 168 Кримінального процесуального кодексу України (КПК) доповнено новими положеннями. Зазначеними положеннями дещо вдосконалено процедуру тимчасового доступу та вилучення електронних інформаційних систем або їх частин, мобільних терміналів систем зв’язку, а саме – передбачено спосіб тимчасового доступу – копіювання інформації, а також визначено мету та додаткову передумову їх тимчасового вилучення. Однак</w:t>
      </w:r>
      <w:r w:rsidR="006F2612">
        <w:rPr>
          <w:rFonts w:ascii="Times New Roman" w:hAnsi="Times New Roman" w:cs="Times New Roman"/>
          <w:sz w:val="28"/>
          <w:szCs w:val="28"/>
          <w:lang w:val="uk-UA"/>
        </w:rPr>
        <w:t>,</w:t>
      </w:r>
      <w:r w:rsidRPr="00151C8E">
        <w:rPr>
          <w:rFonts w:ascii="Times New Roman" w:hAnsi="Times New Roman" w:cs="Times New Roman"/>
          <w:sz w:val="28"/>
          <w:szCs w:val="28"/>
          <w:lang w:val="uk-UA"/>
        </w:rPr>
        <w:t xml:space="preserve"> прийняття цього закону не стало належною перепоною для зловживань органів досудового розслідування стосовно підприємців. </w:t>
      </w:r>
    </w:p>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Тиск на бізнес продовжувався, що стало підставою прийняття нового Закону України від 16 листопада 2017 року № 2213-VIII «Про внесення змін до деяких законодавчих актів щодо забезпечення дотримання прав учасників кримінального провадження та інших осіб правоохоронними органами під час здійснення досудового розслідування» (так званий «Маски-шоу стоп-2»). Однак у результаті його прийняття, на жаль, так само, не було посилено безпеку ведення бізнесу та не встановлено належних запобіжників від зловживань слідчих і прокурорів, зокрема в частині вилучення серверів та інших технічних пристроїв, а також щодо арешту майна підприємців.</w:t>
      </w:r>
    </w:p>
    <w:p w:rsidR="00151C8E" w:rsidRPr="00151C8E" w:rsidRDefault="00151C8E">
      <w:pPr>
        <w:widowControl w:val="0"/>
        <w:tabs>
          <w:tab w:val="left" w:pos="709"/>
          <w:tab w:val="left" w:pos="993"/>
        </w:tabs>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 xml:space="preserve">У результаті прийняття зазначеного Закону № 2213-VIII, особа, стосовно якої (в тому числі її майна) здійснюються процесуальні дії, та яка не є стороною кримінального провадження, має право лише заявляти клопотання про здійснення кримінального провадження у розумні строки та оскаржувати порушення таких строків. Утім перелік прав зазначеної особи потребує суттєвого розширення, адже така особа, по суті, є потенційним підозрюваним. Тому вона </w:t>
      </w:r>
      <w:r w:rsidRPr="00151C8E">
        <w:rPr>
          <w:rFonts w:ascii="Times New Roman" w:hAnsi="Times New Roman" w:cs="Times New Roman"/>
          <w:sz w:val="28"/>
          <w:szCs w:val="28"/>
          <w:lang w:val="uk-UA"/>
        </w:rPr>
        <w:lastRenderedPageBreak/>
        <w:t>має бути наділена тими самими правами, що й підозрюваний. Законом також не роз’яснюється, що слід розуміти під «електронними інформаційними системами або їх частинами, мобільними терміналами систем зв’язку», що в свою чергу може зумовити довільне тлумачення прокурором або органом досудового розслідування цього терміну та зловживання на цій підставі своїми правами.</w:t>
      </w:r>
    </w:p>
    <w:p w:rsidR="00151C8E" w:rsidRPr="00151C8E" w:rsidRDefault="00151C8E">
      <w:pPr>
        <w:widowControl w:val="0"/>
        <w:tabs>
          <w:tab w:val="left" w:pos="709"/>
          <w:tab w:val="left" w:pos="993"/>
        </w:tabs>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Згідно зі ст. 168 КПК, у разі необхідності слідчий чи прокурор (із залученням спеціаліста) здійснює копіювання інформації, що міститься в інформаційних (автоматизованих) системах, телекомунікаційних системах, інформаційно-телекомунікаційних системах, їх невід’ємних частинах. Отже, слідчий та прокурор вправі самі вирішувати питання про те, чи вилучати їм сам комп’ютер або чи копіювати з нього інформацію. Таким чином, Законом № 2213-VIII не передбачено ніяких запобіжників від службових зловживань слідчого та прокурора.</w:t>
      </w:r>
    </w:p>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Практика застосування зазначених положень закону слідчими органами показала, що з його прийняттям не було досягнуто мети цього закону (тобто цей закон виявився недієвим), що в свою чергу, зумовлює необхідність подальшого вдосконалення відповідних його положень. Зокрема, положення цього закону не усувають можливість правоохоронних органів зловживати своїми повноваженнями при реалізації свого права на застосування до підприємців таких заходів забезпечення кримінального провадження, як тимчасовий доступ до речей і документів, тимчасове вилучення і арешт майна.</w:t>
      </w:r>
    </w:p>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 xml:space="preserve">Такі зловживання органів, які здійснюють досудове розслідування, завдають істотну шкоду юридичним і фізичним особам-підприємцям, які використовують вилучене (арештоване) майно і документи як предмети чи засоби праці. Необґрунтоване вилучення і утримання такого майна і документів призводить до неможливості здійснення підприємницької діяльності, зупинки роботи підприємств, доведення їх до стану неплатоспроможності. Завдана такими діями правоохоронців шкода підприємцям, а відповідно – економіці держави, часто значно перевищує наслідки вчинення злочинів, які ними розслідуються. </w:t>
      </w:r>
    </w:p>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Крім того, зловживання органів, які здійснюють досудове розслідування, при застосуванні ними заходів забезпечення кримінального провадження, призводить до порушення Конвенції про захист прав людини та основоположних</w:t>
      </w:r>
      <w:r w:rsidRPr="00151C8E">
        <w:rPr>
          <w:rFonts w:ascii="Times New Roman" w:hAnsi="Times New Roman" w:cs="Times New Roman"/>
          <w:b/>
          <w:bCs/>
          <w:sz w:val="28"/>
          <w:szCs w:val="28"/>
          <w:lang w:val="uk-UA"/>
        </w:rPr>
        <w:t xml:space="preserve"> </w:t>
      </w:r>
      <w:r w:rsidRPr="00151C8E">
        <w:rPr>
          <w:rFonts w:ascii="Times New Roman" w:hAnsi="Times New Roman" w:cs="Times New Roman"/>
          <w:sz w:val="28"/>
          <w:szCs w:val="28"/>
          <w:lang w:val="uk-UA"/>
        </w:rPr>
        <w:t>свобод</w:t>
      </w:r>
      <w:r w:rsidRPr="00151C8E">
        <w:rPr>
          <w:rFonts w:ascii="Times New Roman" w:hAnsi="Times New Roman" w:cs="Times New Roman"/>
          <w:b/>
          <w:bCs/>
          <w:sz w:val="28"/>
          <w:szCs w:val="28"/>
          <w:lang w:val="uk-UA"/>
        </w:rPr>
        <w:t xml:space="preserve"> </w:t>
      </w:r>
      <w:r w:rsidRPr="00151C8E">
        <w:rPr>
          <w:rFonts w:ascii="Times New Roman" w:hAnsi="Times New Roman" w:cs="Times New Roman"/>
          <w:sz w:val="28"/>
          <w:szCs w:val="28"/>
          <w:lang w:val="uk-UA"/>
        </w:rPr>
        <w:t xml:space="preserve">від 20 березня 1952 року (Конвенція). </w:t>
      </w:r>
    </w:p>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 xml:space="preserve">Так, відповідно до Статті 1 Додаткового протоколу до Конвенції, кожна фізична або юридична особа має право мирно володіти своїм майном. Ніхто не може бути позбавлений свого майна інакше як в інтересах суспільства і на умовах, передбачених законом або загальними принципами міжнародного права. </w:t>
      </w:r>
    </w:p>
    <w:p w:rsidR="00151C8E" w:rsidRPr="00151C8E" w:rsidRDefault="00151C8E">
      <w:pPr>
        <w:widowControl w:val="0"/>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Основною метою зазначеної норми міжнародного права є запобігання можливому свавільному порушенню права власності особи (в тому числі шляхом конфіскації майна) державою. На це положення найбільш часто посилаються заявники до Європейського суду з прав людини у справах, що стосуються України. Як приклад, цей Суд визнав порушення Статті 1 Додаткового протоколу до Конвенції більш ніж у 300 рішеннях.</w:t>
      </w:r>
    </w:p>
    <w:p w:rsidR="00151C8E" w:rsidRPr="00151C8E" w:rsidRDefault="00151C8E">
      <w:pPr>
        <w:widowControl w:val="0"/>
        <w:tabs>
          <w:tab w:val="left" w:pos="993"/>
        </w:tabs>
        <w:autoSpaceDE w:val="0"/>
        <w:autoSpaceDN w:val="0"/>
        <w:adjustRightInd w:val="0"/>
        <w:ind w:right="-6" w:firstLine="567"/>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Європейський суд з прав людини у своїх рішеннях неодноразово зауважував, що досягнення справедливого балансу між загальними інтересами суспільства та вимогами захисту основоположних прав особи лише тоді стає значимим, якщо встановлено, що під час відповідного втручання було дотримано принцип «законності» і воно не було свавільним. Водночас Європейський суд вважає, що наявність суспільного інтересу при конфіскації майна особи, не звільняє владу держави від обов’язку навести юридичне обґрунтування такому заходу  (Рішення від 9 червня 2005 р. № 68443/01 у справі «Бакланов проти Росії», Рішення від 24 березня 2005 р. № 58254/00 у справі «Фрізен проти Росії»). Для того, щоб втручання вважалося пропорційним, воно має відповідати тяжкості правопорушення і не становити «особистий і надмірний тягар» для особи (Рішення від 15 жовтня 2008 р. № 30352/03 у справі «Ісмаїлов проти Росії»).</w:t>
      </w:r>
    </w:p>
    <w:p w:rsidR="00151C8E" w:rsidRPr="00151C8E" w:rsidRDefault="00151C8E">
      <w:pPr>
        <w:widowControl w:val="0"/>
        <w:tabs>
          <w:tab w:val="left" w:pos="993"/>
        </w:tabs>
        <w:autoSpaceDE w:val="0"/>
        <w:autoSpaceDN w:val="0"/>
        <w:adjustRightInd w:val="0"/>
        <w:ind w:right="-6" w:firstLine="567"/>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Втручання у право власності, навіть якщо воно має законну мету та здійснюється згідно з національним законодавством і в інтересах суспільства, все одно буде розглядатися як порушення Статті 1 Першого протоколу Конвенції, якщо не була дотримана розумна пропорційність між втручанням у права фізичної чи юридичної особи й інтересами суспільства.</w:t>
      </w:r>
    </w:p>
    <w:p w:rsidR="00151C8E" w:rsidRPr="00151C8E" w:rsidRDefault="00151C8E">
      <w:pPr>
        <w:widowControl w:val="0"/>
        <w:tabs>
          <w:tab w:val="left" w:pos="993"/>
        </w:tabs>
        <w:autoSpaceDE w:val="0"/>
        <w:autoSpaceDN w:val="0"/>
        <w:adjustRightInd w:val="0"/>
        <w:ind w:right="-6" w:firstLine="567"/>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 xml:space="preserve">Порушення Статті 1 Першого протоколу до Конвенції становить наявний істотний дисбаланс між заходами, вжитими для забезпечення загальних інтересів суспільства, та потребою захищати право заявника на мирне володіння своїм майном. Необхідного балансу не вдасться досягти, якщо на відповідну особу буде покладено індивідуальний та надмірний тягар (п. 168 Рішення від 23 січня 2014 р. у справі «East/West Alliance Limited проти України»). </w:t>
      </w:r>
    </w:p>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Отже, нагальним видається розроблення такого механізму застосування заходів забезпечення кримінального провадження, за якого було б дотримано розумного балансу між інтересами держави в частині забезпечення справедливого правосуддя та інтересами підприємців, яким завдається істотна шкода внаслідок незаконних дій державних органів при реалізації ними владних повноважень.</w:t>
      </w:r>
    </w:p>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 xml:space="preserve">Субʼєктами таких незаконних дій у сфері застосування кримінального процесуального законодавства виступають передусім керівники і працівники (слідчі) органу досудового розслідування, а також прокурори, слідчі судді й судді. Кримінальним кодексом України передбачено відповідальність за постановлення суддею (суддями) завідомо неправосудного вироку, рішення, ухвали або постанови (ст. 375). </w:t>
      </w:r>
    </w:p>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Однак слідчі та прокурори наразі не несуть кримінальної відповідальності за умисне порушення ними порядку тимчасового доступу до речей і документів або тимчасового вилучення чи арешту майна, якщо це завдано істотної майнової шкоди власнику (законному володільцю) даного майна чи документів. Тому вважаємо, що встановлення кримінальної відповідальності щодо слідчих і прокурорів за заподіяння шкоди під час порушень кримінального процесуального закону, є необхідною умовою належного захисту прав громадян, протидії свавіллю правоохоронців, запобіганню і протидії зловживанням під час застосування ними закону.</w:t>
      </w:r>
    </w:p>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p>
    <w:p w:rsidR="00151C8E" w:rsidRPr="00151C8E" w:rsidRDefault="00E95425" w:rsidP="00E95425">
      <w:pPr>
        <w:widowControl w:val="0"/>
        <w:tabs>
          <w:tab w:val="left" w:pos="993"/>
        </w:tabs>
        <w:autoSpaceDE w:val="0"/>
        <w:autoSpaceDN w:val="0"/>
        <w:adjustRightInd w:val="0"/>
        <w:ind w:left="709" w:right="-6"/>
        <w:jc w:val="both"/>
        <w:rPr>
          <w:rFonts w:ascii="Times New Roman" w:hAnsi="Times New Roman" w:cs="Times New Roman"/>
          <w:b/>
          <w:bCs/>
          <w:sz w:val="28"/>
          <w:szCs w:val="28"/>
          <w:lang w:val="uk-UA"/>
        </w:rPr>
      </w:pPr>
      <w:r w:rsidRPr="00151C8E">
        <w:rPr>
          <w:rFonts w:ascii="Times New Roman" w:hAnsi="Times New Roman" w:cs="Times New Roman"/>
          <w:b/>
          <w:bCs/>
          <w:sz w:val="28"/>
          <w:szCs w:val="28"/>
          <w:lang w:val="uk-UA"/>
        </w:rPr>
        <w:t xml:space="preserve">2. </w:t>
      </w:r>
      <w:r w:rsidR="00151C8E" w:rsidRPr="00151C8E">
        <w:rPr>
          <w:rFonts w:ascii="Times New Roman" w:hAnsi="Times New Roman" w:cs="Times New Roman"/>
          <w:b/>
          <w:bCs/>
          <w:sz w:val="28"/>
          <w:szCs w:val="28"/>
          <w:lang w:val="uk-UA"/>
        </w:rPr>
        <w:t>Мета і шляхи її досягнення</w:t>
      </w:r>
    </w:p>
    <w:p w:rsidR="00151C8E" w:rsidRPr="00151C8E" w:rsidRDefault="00151C8E">
      <w:pPr>
        <w:widowControl w:val="0"/>
        <w:autoSpaceDE w:val="0"/>
        <w:autoSpaceDN w:val="0"/>
        <w:adjustRightInd w:val="0"/>
        <w:ind w:right="-6" w:firstLine="709"/>
        <w:jc w:val="both"/>
        <w:rPr>
          <w:rFonts w:ascii="Times New Roman" w:hAnsi="Times New Roman" w:cs="Times New Roman"/>
          <w:sz w:val="28"/>
          <w:szCs w:val="28"/>
          <w:lang w:val="uk-UA"/>
        </w:rPr>
      </w:pPr>
    </w:p>
    <w:p w:rsidR="00151C8E" w:rsidRPr="00151C8E" w:rsidRDefault="00151C8E">
      <w:pPr>
        <w:widowControl w:val="0"/>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 xml:space="preserve">Проект Закону України «Про внесення змін до Кримінального процесуального кодексу України та Кримінального кодексу України (щодо вдосконалення порядку застосування окремих заходів забезпечення кримінального провадження)» розроблений у зв’язку із необхідністю уточнення термінології та вдосконалення положень щодо тимчасового доступу та вилучення інформаційних та телекомунікаційних систем. </w:t>
      </w:r>
    </w:p>
    <w:p w:rsidR="00151C8E" w:rsidRPr="00151C8E" w:rsidRDefault="00151C8E">
      <w:pPr>
        <w:widowControl w:val="0"/>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Проект закону, у разі прийняття, дозволить підвищити збалансованість між забезпеченням дотримання прав фізичних та юридичних осіб та повноваженнями слідчих під час досудового розслідування кримінальних правопорушень.</w:t>
      </w:r>
    </w:p>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 xml:space="preserve">Проект закону дозволить удосконалити методику проведення слідчих дій і знизить навантаження на правоохоронні органи в частині усунення потреби зберігання великої кількості громіздкої вилученої техніки. </w:t>
      </w:r>
    </w:p>
    <w:p w:rsidR="00151C8E" w:rsidRPr="00151C8E" w:rsidRDefault="00151C8E">
      <w:pPr>
        <w:widowControl w:val="0"/>
        <w:tabs>
          <w:tab w:val="left" w:pos="993"/>
        </w:tabs>
        <w:autoSpaceDE w:val="0"/>
        <w:autoSpaceDN w:val="0"/>
        <w:adjustRightInd w:val="0"/>
        <w:ind w:right="-6" w:firstLine="709"/>
        <w:rPr>
          <w:rFonts w:ascii="Times New Roman" w:hAnsi="Times New Roman" w:cs="Times New Roman"/>
          <w:b/>
          <w:bCs/>
          <w:sz w:val="28"/>
          <w:szCs w:val="28"/>
          <w:lang w:val="uk-UA"/>
        </w:rPr>
      </w:pPr>
    </w:p>
    <w:p w:rsidR="00151C8E" w:rsidRPr="00151C8E" w:rsidRDefault="00E95425" w:rsidP="00E95425">
      <w:pPr>
        <w:widowControl w:val="0"/>
        <w:tabs>
          <w:tab w:val="left" w:pos="993"/>
        </w:tabs>
        <w:autoSpaceDE w:val="0"/>
        <w:autoSpaceDN w:val="0"/>
        <w:adjustRightInd w:val="0"/>
        <w:ind w:left="708" w:right="-6"/>
        <w:rPr>
          <w:rFonts w:ascii="Times New Roman" w:hAnsi="Times New Roman" w:cs="Times New Roman"/>
          <w:b/>
          <w:bCs/>
          <w:sz w:val="28"/>
          <w:szCs w:val="28"/>
          <w:lang w:val="uk-UA"/>
        </w:rPr>
      </w:pPr>
      <w:r w:rsidRPr="00151C8E">
        <w:rPr>
          <w:rFonts w:ascii="Times New Roman" w:hAnsi="Times New Roman" w:cs="Times New Roman"/>
          <w:b/>
          <w:bCs/>
          <w:sz w:val="28"/>
          <w:szCs w:val="28"/>
          <w:lang w:val="uk-UA"/>
        </w:rPr>
        <w:t xml:space="preserve">3. </w:t>
      </w:r>
      <w:r w:rsidR="00151C8E" w:rsidRPr="00151C8E">
        <w:rPr>
          <w:rFonts w:ascii="Times New Roman" w:hAnsi="Times New Roman" w:cs="Times New Roman"/>
          <w:b/>
          <w:bCs/>
          <w:sz w:val="28"/>
          <w:szCs w:val="28"/>
          <w:lang w:val="uk-UA"/>
        </w:rPr>
        <w:t>Загальна характеристика і основні положення законопроекту</w:t>
      </w:r>
    </w:p>
    <w:p w:rsidR="00151C8E" w:rsidRPr="00151C8E" w:rsidRDefault="00151C8E">
      <w:pPr>
        <w:widowControl w:val="0"/>
        <w:tabs>
          <w:tab w:val="left" w:pos="993"/>
        </w:tabs>
        <w:autoSpaceDE w:val="0"/>
        <w:autoSpaceDN w:val="0"/>
        <w:adjustRightInd w:val="0"/>
        <w:ind w:right="-6"/>
        <w:rPr>
          <w:rFonts w:ascii="Times New Roman" w:hAnsi="Times New Roman" w:cs="Times New Roman"/>
          <w:b/>
          <w:bCs/>
          <w:sz w:val="28"/>
          <w:szCs w:val="28"/>
          <w:lang w:val="uk-UA"/>
        </w:rPr>
      </w:pPr>
    </w:p>
    <w:p w:rsidR="00151C8E" w:rsidRPr="00151C8E" w:rsidRDefault="00151C8E">
      <w:pPr>
        <w:widowControl w:val="0"/>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Проектом закону передбачається внесення змін до Кримінального та Кримінального процесуального кодексу України в частині уточнення спеціальної термінології галузі інформаційних технологій, вдосконалення змісту поняття «речовий доказ» з урахуванням сучасного стану розвитку інформаційних технологій та вдосконалення положень, які регулюють тимчасовий доступ і вилучення майна і документів, для забезпечення альтернативного адекватного способу їх реалізації.</w:t>
      </w:r>
    </w:p>
    <w:p w:rsidR="00151C8E" w:rsidRPr="00151C8E" w:rsidRDefault="00151C8E">
      <w:pPr>
        <w:widowControl w:val="0"/>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Зокрема, пропонується:</w:t>
      </w:r>
    </w:p>
    <w:p w:rsidR="00151C8E" w:rsidRPr="00151C8E" w:rsidRDefault="00151C8E" w:rsidP="00E95425">
      <w:pPr>
        <w:widowControl w:val="0"/>
        <w:numPr>
          <w:ilvl w:val="0"/>
          <w:numId w:val="10"/>
        </w:numPr>
        <w:autoSpaceDE w:val="0"/>
        <w:autoSpaceDN w:val="0"/>
        <w:adjustRightInd w:val="0"/>
        <w:ind w:left="0"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доповнити КПК нормою, згідно з якою сторона кримінального провадження, потерпілий, представник юридичної особи, щодо якої здійснюється провадження, зобов’язані надати суду оригінал документа. Оригіналом документа є сам документ, а оригіналом електронного документа – його електронний примірник відповідно до Закону України «Про електронні документи та електронний документообіг», а також візуальне відображення електронного документа на папері, яке засвідчене в порядку, встановленому законодавством;</w:t>
      </w:r>
    </w:p>
    <w:p w:rsidR="00E95425" w:rsidRPr="00151C8E" w:rsidRDefault="00151C8E" w:rsidP="00E95425">
      <w:pPr>
        <w:widowControl w:val="0"/>
        <w:numPr>
          <w:ilvl w:val="0"/>
          <w:numId w:val="10"/>
        </w:numPr>
        <w:autoSpaceDE w:val="0"/>
        <w:autoSpaceDN w:val="0"/>
        <w:adjustRightInd w:val="0"/>
        <w:ind w:left="0"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передбачити в КПК положення, згідно з яким у разі втрати, пошкодження чи знищення стороною кримінального провадження наданого їй документа чи пристрою для обробки, передавання та зберігання електронної інформації або його складових, що містили у собі документ в електронному вигляді, вона зобов’язана відшкодувати володільцю витрати, пов’язані з втратою, пошкодженням чи знищенням документа, виготовленням його дубліката та вжити заходів щодо відновлення втраченого документа</w:t>
      </w:r>
      <w:r w:rsidR="00E95425" w:rsidRPr="00151C8E">
        <w:rPr>
          <w:rFonts w:ascii="Times New Roman" w:hAnsi="Times New Roman" w:cs="Times New Roman"/>
          <w:sz w:val="28"/>
          <w:szCs w:val="28"/>
          <w:lang w:val="uk-UA"/>
        </w:rPr>
        <w:t>;</w:t>
      </w:r>
    </w:p>
    <w:p w:rsidR="00151C8E" w:rsidRPr="00151C8E" w:rsidRDefault="00151C8E" w:rsidP="00E95425">
      <w:pPr>
        <w:widowControl w:val="0"/>
        <w:numPr>
          <w:ilvl w:val="0"/>
          <w:numId w:val="10"/>
        </w:numPr>
        <w:autoSpaceDE w:val="0"/>
        <w:autoSpaceDN w:val="0"/>
        <w:adjustRightInd w:val="0"/>
        <w:ind w:left="0"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 xml:space="preserve">доповнити Статтю 100 КПК положеннями, за якими речові докази, що не містять слідів кримінального правопорушення, у вигляді пристроїв для обробки, передавання та зберігання електронної інформації або їх складових, якщо вони використовуються як предмети або засоби праці та/або вилучення яких може завдати істотної шкоди їх власнику (законному володільцю) повертаються власнику (законному володільцю) або передаються йому на відповідальне зберігання, якщо це можливо без шкоди для кримінального провадження. </w:t>
      </w:r>
    </w:p>
    <w:p w:rsidR="00E95425" w:rsidRPr="00151C8E" w:rsidRDefault="00151C8E" w:rsidP="00E95425">
      <w:pPr>
        <w:widowControl w:val="0"/>
        <w:autoSpaceDE w:val="0"/>
        <w:autoSpaceDN w:val="0"/>
        <w:adjustRightInd w:val="0"/>
        <w:ind w:right="-6" w:firstLine="450"/>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У разі вилучення зазначених пристроїв або їх складових, особа, яка їх вилучає, зобов’язана на вимогу власника (законного володільця) або його представника надати письмове обґрунтування можливості заподіяння шкоди кримінальному провадженню у разі, якщо зазначений пристрій не буде вилучено. Таке обґрунтування має бути зафіксовано в протоколі огляду, копія якого повинна бути вручена власнику (законному володільцю) пристрою для обробки, передавання та зберігання електронної інформації або його складової (складових);</w:t>
      </w:r>
    </w:p>
    <w:p w:rsidR="00E95425" w:rsidRPr="00151C8E" w:rsidRDefault="00151C8E" w:rsidP="00E95425">
      <w:pPr>
        <w:widowControl w:val="0"/>
        <w:numPr>
          <w:ilvl w:val="0"/>
          <w:numId w:val="10"/>
        </w:numPr>
        <w:autoSpaceDE w:val="0"/>
        <w:autoSpaceDN w:val="0"/>
        <w:adjustRightInd w:val="0"/>
        <w:ind w:left="0"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передбачити норму, згідно з якою тимчасовий доступ до пристроїв для обробки, передавання та зберігання електронної інформації або їх складових здійснюється без їх вилучення (виїмки) шляхом зняття копії інформації, що в них міститься. За результатами копіювання інформації має бути складено окремий протокол, копія якого вручається особі, якій належить пристрій для обробки, передавання та зберігання електронної інформації або їх складових, з якого здійснено копіювання інформації;</w:t>
      </w:r>
    </w:p>
    <w:p w:rsidR="00E95425" w:rsidRPr="00151C8E" w:rsidRDefault="00151C8E" w:rsidP="00E95425">
      <w:pPr>
        <w:widowControl w:val="0"/>
        <w:numPr>
          <w:ilvl w:val="0"/>
          <w:numId w:val="10"/>
        </w:numPr>
        <w:autoSpaceDE w:val="0"/>
        <w:autoSpaceDN w:val="0"/>
        <w:adjustRightInd w:val="0"/>
        <w:ind w:left="0"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заборонити вилучати пристрої для обробки, передавання та зберігання електронної інформації або їх складових, а також порушувати роботу комп’ютерних та інших мереж,  якщо знаряддям, засобом або предметом кримінального правопорушення виступає інформація, що в них міститься;</w:t>
      </w:r>
    </w:p>
    <w:p w:rsidR="006F2612" w:rsidRDefault="00151C8E" w:rsidP="00E95425">
      <w:pPr>
        <w:widowControl w:val="0"/>
        <w:numPr>
          <w:ilvl w:val="0"/>
          <w:numId w:val="10"/>
        </w:numPr>
        <w:autoSpaceDE w:val="0"/>
        <w:autoSpaceDN w:val="0"/>
        <w:adjustRightInd w:val="0"/>
        <w:ind w:left="0"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 xml:space="preserve">увести норму, відповідно до якої у разі вилучення зазначених пристроїв або їх складових, особа, яка їх вилучає, зобов’язана на вимогу власника (законного володільця) надати можливість йому або уповноваженій ним особі копіювати інформацію, що міститься у цих пристроях або їх складових (за винятком випадків, коли така інформація є конфіденційною інформацією про іншу особу, таємною чи службовою інформацією, або якщо поширення, зберігання та інші дії щодо такої інформації заборонено законом). </w:t>
      </w:r>
    </w:p>
    <w:p w:rsidR="00E95425" w:rsidRPr="00151C8E" w:rsidRDefault="00151C8E" w:rsidP="006F2612">
      <w:pPr>
        <w:widowControl w:val="0"/>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Надання власникові пристрою або його законному володільцю (чи уповноваженій одним з них особі) можливості копіювати інформацію має здійснюватися безпосередньо під час вилучення цього пристрою або його складової, а у випадку неможливості копіювати таку інформацію негайно, – особа, яка вилучає пристрої для обробки, передавання та зберігання електронної інформації або їх складові, повинна надати таку можливість копіювання інформації у будь-який зручний для власника (законного володільця) пристрою час;</w:t>
      </w:r>
    </w:p>
    <w:p w:rsidR="00151C8E" w:rsidRPr="00151C8E" w:rsidRDefault="00151C8E" w:rsidP="00E95425">
      <w:pPr>
        <w:widowControl w:val="0"/>
        <w:numPr>
          <w:ilvl w:val="0"/>
          <w:numId w:val="10"/>
        </w:numPr>
        <w:autoSpaceDE w:val="0"/>
        <w:autoSpaceDN w:val="0"/>
        <w:adjustRightInd w:val="0"/>
        <w:ind w:left="0"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доповнити Статтю 170 КПК положеннями, за якими арешт на майно у вигляді пристроїв для обробки, передавання та зберігання електронної інформації або їх складових, якщо вони використовуються їх власником (або законним володільцем) як предмети або засоби праці або якщо їх арешт може завдати шкоди фізичній чи юридичній особі, яка не є учасником цього кримінального провадження, може бути накладено лише з метою забезпечення можливої конфіскації майна чи спеціальної конфіскації. При цьому недопустимою має бути заборона використання пристроїв для обробки, передавання та зберігання електронної інформації або їх складових, якщо вони використовуються їх власником (або законним володільцем) як предмети або засоби праці.</w:t>
      </w:r>
    </w:p>
    <w:p w:rsidR="00151C8E" w:rsidRPr="00151C8E" w:rsidRDefault="00151C8E">
      <w:pPr>
        <w:widowControl w:val="0"/>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Крім того, законопроектом передбачено внесення змін до Кримінального кодексу України з метою встановлення відповідальності посадових осіб слідчих органів та органів прокуратури за порушення відповідних вимог КПК, а саме за: «Умисне порушення слідчим або прокурором встановленого Кримінальним процесуальним кодексом України порядку тимчасового доступу до речей і документів або тимчасового вилучення чи арешту майна, а так само порядку вилучення речових доказів під час огляду або обшуку, якщо це завдало істотної майнової шкоди власнику (законному володільцю) даного майна чи документів».</w:t>
      </w:r>
    </w:p>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p>
    <w:p w:rsidR="00151C8E" w:rsidRPr="00151C8E" w:rsidRDefault="00E95425" w:rsidP="00E95425">
      <w:pPr>
        <w:widowControl w:val="0"/>
        <w:autoSpaceDE w:val="0"/>
        <w:autoSpaceDN w:val="0"/>
        <w:adjustRightInd w:val="0"/>
        <w:ind w:right="-6"/>
        <w:jc w:val="both"/>
        <w:rPr>
          <w:rFonts w:ascii="Times New Roman" w:hAnsi="Times New Roman" w:cs="Times New Roman"/>
          <w:b/>
          <w:bCs/>
          <w:sz w:val="28"/>
          <w:szCs w:val="28"/>
          <w:lang w:val="uk-UA"/>
        </w:rPr>
      </w:pPr>
      <w:r w:rsidRPr="00151C8E">
        <w:rPr>
          <w:rFonts w:ascii="Times New Roman" w:hAnsi="Times New Roman" w:cs="Times New Roman"/>
          <w:b/>
          <w:bCs/>
          <w:sz w:val="28"/>
          <w:szCs w:val="28"/>
          <w:lang w:val="uk-UA"/>
        </w:rPr>
        <w:t xml:space="preserve">     4. </w:t>
      </w:r>
      <w:r w:rsidR="00151C8E" w:rsidRPr="00151C8E">
        <w:rPr>
          <w:rFonts w:ascii="Times New Roman" w:hAnsi="Times New Roman" w:cs="Times New Roman"/>
          <w:b/>
          <w:bCs/>
          <w:sz w:val="28"/>
          <w:szCs w:val="28"/>
          <w:lang w:val="uk-UA"/>
        </w:rPr>
        <w:t>Стан нормативно-правової бази у даній сфері правового регулювання</w:t>
      </w:r>
    </w:p>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p>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Відносини у сфері правового регулювання проекту закону регулюються Кримінальним процесуальним кодексом України та Кримінальним кодексом України.</w:t>
      </w:r>
    </w:p>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Проект закону потребуватиме приведення у відповідність до його положень нормативно-правових актів органів влади, які регулюють питання, пов’язані з тимчасовим доступом до речей, документів та інформаційних систем і з тимчасовим вилученням майна.</w:t>
      </w:r>
    </w:p>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Реалізація положень проекту закону після його прийняття не потребує внесення змін до інших законів України.</w:t>
      </w:r>
    </w:p>
    <w:p w:rsidR="00151C8E" w:rsidRPr="00151C8E" w:rsidRDefault="00151C8E">
      <w:pPr>
        <w:widowControl w:val="0"/>
        <w:tabs>
          <w:tab w:val="left" w:pos="993"/>
        </w:tabs>
        <w:autoSpaceDE w:val="0"/>
        <w:autoSpaceDN w:val="0"/>
        <w:adjustRightInd w:val="0"/>
        <w:ind w:right="-6" w:firstLine="709"/>
        <w:rPr>
          <w:rFonts w:ascii="Times New Roman" w:hAnsi="Times New Roman" w:cs="Times New Roman"/>
          <w:b/>
          <w:bCs/>
          <w:sz w:val="28"/>
          <w:szCs w:val="28"/>
          <w:lang w:val="uk-UA"/>
        </w:rPr>
      </w:pPr>
    </w:p>
    <w:p w:rsidR="00151C8E" w:rsidRPr="00151C8E" w:rsidRDefault="00E95425" w:rsidP="00E95425">
      <w:pPr>
        <w:widowControl w:val="0"/>
        <w:autoSpaceDE w:val="0"/>
        <w:autoSpaceDN w:val="0"/>
        <w:adjustRightInd w:val="0"/>
        <w:ind w:right="-6"/>
        <w:rPr>
          <w:rFonts w:ascii="Times New Roman" w:hAnsi="Times New Roman" w:cs="Times New Roman"/>
          <w:b/>
          <w:bCs/>
          <w:sz w:val="28"/>
          <w:szCs w:val="28"/>
          <w:lang w:val="uk-UA"/>
        </w:rPr>
      </w:pPr>
      <w:r w:rsidRPr="00151C8E">
        <w:rPr>
          <w:rFonts w:ascii="Times New Roman" w:hAnsi="Times New Roman" w:cs="Times New Roman"/>
          <w:b/>
          <w:bCs/>
          <w:sz w:val="28"/>
          <w:szCs w:val="28"/>
          <w:lang w:val="uk-UA"/>
        </w:rPr>
        <w:t xml:space="preserve">     5. </w:t>
      </w:r>
      <w:r w:rsidR="00151C8E" w:rsidRPr="00151C8E">
        <w:rPr>
          <w:rFonts w:ascii="Times New Roman" w:hAnsi="Times New Roman" w:cs="Times New Roman"/>
          <w:b/>
          <w:bCs/>
          <w:sz w:val="28"/>
          <w:szCs w:val="28"/>
          <w:lang w:val="uk-UA"/>
        </w:rPr>
        <w:t>Фінансово-економічне обґрунтування</w:t>
      </w:r>
    </w:p>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p>
    <w:p w:rsidR="00151C8E" w:rsidRPr="00151C8E" w:rsidRDefault="00E95425">
      <w:pPr>
        <w:widowControl w:val="0"/>
        <w:tabs>
          <w:tab w:val="left" w:pos="993"/>
        </w:tabs>
        <w:autoSpaceDE w:val="0"/>
        <w:autoSpaceDN w:val="0"/>
        <w:adjustRightInd w:val="0"/>
        <w:ind w:right="-6" w:firstLine="709"/>
        <w:jc w:val="both"/>
        <w:rPr>
          <w:rFonts w:ascii="Times" w:hAnsi="Times" w:cs="Times"/>
          <w:sz w:val="28"/>
          <w:szCs w:val="28"/>
          <w:lang w:val="uk-UA"/>
        </w:rPr>
      </w:pPr>
      <w:r w:rsidRPr="00151C8E">
        <w:rPr>
          <w:rFonts w:ascii="Times" w:hAnsi="Times" w:cs="Times"/>
          <w:sz w:val="28"/>
          <w:szCs w:val="28"/>
          <w:lang w:val="uk-UA"/>
        </w:rPr>
        <w:t>Проект Закону не потребує змін до Державного бюджету України.</w:t>
      </w:r>
    </w:p>
    <w:p w:rsidR="00E95425" w:rsidRPr="00151C8E" w:rsidRDefault="00E95425">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p>
    <w:p w:rsidR="00151C8E" w:rsidRPr="00151C8E" w:rsidRDefault="00E95425" w:rsidP="00E95425">
      <w:pPr>
        <w:widowControl w:val="0"/>
        <w:autoSpaceDE w:val="0"/>
        <w:autoSpaceDN w:val="0"/>
        <w:adjustRightInd w:val="0"/>
        <w:ind w:left="709" w:right="-6"/>
        <w:jc w:val="both"/>
        <w:rPr>
          <w:rFonts w:ascii="Times New Roman" w:hAnsi="Times New Roman" w:cs="Times New Roman"/>
          <w:b/>
          <w:bCs/>
          <w:sz w:val="28"/>
          <w:szCs w:val="28"/>
          <w:lang w:val="uk-UA"/>
        </w:rPr>
      </w:pPr>
      <w:r w:rsidRPr="00151C8E">
        <w:rPr>
          <w:rFonts w:ascii="Times New Roman" w:hAnsi="Times New Roman" w:cs="Times New Roman"/>
          <w:b/>
          <w:bCs/>
          <w:sz w:val="28"/>
          <w:szCs w:val="28"/>
          <w:lang w:val="uk-UA"/>
        </w:rPr>
        <w:t xml:space="preserve">6. </w:t>
      </w:r>
      <w:r w:rsidR="00151C8E" w:rsidRPr="00151C8E">
        <w:rPr>
          <w:rFonts w:ascii="Times New Roman" w:hAnsi="Times New Roman" w:cs="Times New Roman"/>
          <w:b/>
          <w:bCs/>
          <w:sz w:val="28"/>
          <w:szCs w:val="28"/>
          <w:lang w:val="uk-UA"/>
        </w:rPr>
        <w:t>Запобігання корупції</w:t>
      </w:r>
    </w:p>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p>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Проект закону не містить правил і процедур, які можуть містити ризики вчинення корупційних правопорушень.</w:t>
      </w:r>
    </w:p>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Проект закону містить норми, що направлені на недопущення вчинення корупційних правопорушень.</w:t>
      </w:r>
    </w:p>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p>
    <w:p w:rsidR="00151C8E" w:rsidRPr="00151C8E" w:rsidRDefault="00E95425" w:rsidP="00E95425">
      <w:pPr>
        <w:widowControl w:val="0"/>
        <w:autoSpaceDE w:val="0"/>
        <w:autoSpaceDN w:val="0"/>
        <w:adjustRightInd w:val="0"/>
        <w:ind w:left="-142" w:right="-6" w:firstLine="851"/>
        <w:jc w:val="both"/>
        <w:rPr>
          <w:rFonts w:ascii="Times New Roman" w:hAnsi="Times New Roman" w:cs="Times New Roman"/>
          <w:b/>
          <w:bCs/>
          <w:sz w:val="28"/>
          <w:szCs w:val="28"/>
          <w:lang w:val="uk-UA"/>
        </w:rPr>
      </w:pPr>
      <w:r w:rsidRPr="00151C8E">
        <w:rPr>
          <w:rFonts w:ascii="Times New Roman" w:hAnsi="Times New Roman" w:cs="Times New Roman"/>
          <w:b/>
          <w:bCs/>
          <w:sz w:val="28"/>
          <w:szCs w:val="28"/>
          <w:lang w:val="uk-UA"/>
        </w:rPr>
        <w:t xml:space="preserve">7. </w:t>
      </w:r>
      <w:r w:rsidR="00151C8E" w:rsidRPr="00151C8E">
        <w:rPr>
          <w:rFonts w:ascii="Times New Roman" w:hAnsi="Times New Roman" w:cs="Times New Roman"/>
          <w:b/>
          <w:bCs/>
          <w:sz w:val="28"/>
          <w:szCs w:val="28"/>
          <w:lang w:val="uk-UA"/>
        </w:rPr>
        <w:t>Прогноз очікуваних соціально-економічних, правових та інших наслідків прийняття проекту</w:t>
      </w:r>
    </w:p>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p>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r w:rsidRPr="00151C8E">
        <w:rPr>
          <w:rFonts w:ascii="Times New Roman" w:hAnsi="Times New Roman" w:cs="Times New Roman"/>
          <w:sz w:val="28"/>
          <w:szCs w:val="28"/>
          <w:lang w:val="uk-UA"/>
        </w:rPr>
        <w:t>Прийняття проекту закону дозволить знизити ризики вчинення корупційних правопорушень посадовими особами слідчих органів та органів прокуратури і дозволить збалансовано підвищи</w:t>
      </w:r>
      <w:r w:rsidR="0046399B">
        <w:rPr>
          <w:rFonts w:ascii="Times New Roman" w:hAnsi="Times New Roman" w:cs="Times New Roman"/>
          <w:sz w:val="28"/>
          <w:szCs w:val="28"/>
          <w:lang w:val="uk-UA"/>
        </w:rPr>
        <w:t>ти</w:t>
      </w:r>
      <w:r w:rsidRPr="00151C8E">
        <w:rPr>
          <w:rFonts w:ascii="Times New Roman" w:hAnsi="Times New Roman" w:cs="Times New Roman"/>
          <w:sz w:val="28"/>
          <w:szCs w:val="28"/>
          <w:lang w:val="uk-UA"/>
        </w:rPr>
        <w:t xml:space="preserve"> захищеність законних прав суб’єктів господарювання на провадження господарської діяльності у разі провадження слідчих дій по відношенню до них при збереженні можливості збору доказової бази слідчими органами без втрати ними належності у судовому процесі.</w:t>
      </w:r>
    </w:p>
    <w:p w:rsidR="00151C8E" w:rsidRDefault="00151C8E" w:rsidP="006F2612">
      <w:pPr>
        <w:widowControl w:val="0"/>
        <w:tabs>
          <w:tab w:val="left" w:pos="993"/>
        </w:tabs>
        <w:autoSpaceDE w:val="0"/>
        <w:autoSpaceDN w:val="0"/>
        <w:adjustRightInd w:val="0"/>
        <w:ind w:right="-6"/>
        <w:jc w:val="both"/>
        <w:rPr>
          <w:rFonts w:ascii="Times New Roman" w:hAnsi="Times New Roman" w:cs="Times New Roman"/>
          <w:sz w:val="28"/>
          <w:szCs w:val="28"/>
          <w:lang w:val="uk-UA"/>
        </w:rPr>
      </w:pPr>
    </w:p>
    <w:p w:rsidR="00151C8E" w:rsidRPr="001053A1"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2"/>
        <w:gridCol w:w="4830"/>
      </w:tblGrid>
      <w:tr w:rsidR="00E95425" w:rsidRPr="00D05F2F" w:rsidTr="00151C8E">
        <w:tc>
          <w:tcPr>
            <w:tcW w:w="4924" w:type="dxa"/>
          </w:tcPr>
          <w:p w:rsidR="00E95425" w:rsidRPr="00151C8E" w:rsidRDefault="00151C8E">
            <w:pPr>
              <w:widowControl w:val="0"/>
              <w:tabs>
                <w:tab w:val="left" w:pos="993"/>
              </w:tabs>
              <w:autoSpaceDE w:val="0"/>
              <w:autoSpaceDN w:val="0"/>
              <w:adjustRightInd w:val="0"/>
              <w:ind w:right="-6"/>
              <w:jc w:val="both"/>
              <w:rPr>
                <w:rFonts w:ascii="Times New Roman" w:hAnsi="Times New Roman" w:cs="Times New Roman"/>
                <w:b/>
                <w:sz w:val="28"/>
                <w:szCs w:val="28"/>
                <w:lang w:val="uk-UA"/>
              </w:rPr>
            </w:pPr>
            <w:r w:rsidRPr="00151C8E">
              <w:rPr>
                <w:rFonts w:ascii="Times New Roman" w:hAnsi="Times New Roman" w:cs="Times New Roman"/>
                <w:b/>
                <w:sz w:val="28"/>
                <w:szCs w:val="28"/>
                <w:lang w:val="uk-UA"/>
              </w:rPr>
              <w:t xml:space="preserve">Народні депутати України </w:t>
            </w:r>
          </w:p>
          <w:p w:rsidR="00151C8E" w:rsidRPr="00151C8E" w:rsidRDefault="00151C8E">
            <w:pPr>
              <w:widowControl w:val="0"/>
              <w:tabs>
                <w:tab w:val="left" w:pos="993"/>
              </w:tabs>
              <w:autoSpaceDE w:val="0"/>
              <w:autoSpaceDN w:val="0"/>
              <w:adjustRightInd w:val="0"/>
              <w:ind w:right="-6"/>
              <w:jc w:val="both"/>
              <w:rPr>
                <w:rFonts w:ascii="Times New Roman" w:hAnsi="Times New Roman" w:cs="Times New Roman"/>
                <w:sz w:val="28"/>
                <w:szCs w:val="28"/>
                <w:lang w:val="uk-UA"/>
              </w:rPr>
            </w:pPr>
          </w:p>
        </w:tc>
        <w:tc>
          <w:tcPr>
            <w:tcW w:w="4924" w:type="dxa"/>
          </w:tcPr>
          <w:p w:rsidR="00EB2556" w:rsidRPr="00EB2556" w:rsidRDefault="00EB2556" w:rsidP="00EB2556">
            <w:pPr>
              <w:jc w:val="right"/>
              <w:rPr>
                <w:rFonts w:ascii="Times New Roman" w:hAnsi="Times New Roman" w:cs="Times New Roman"/>
                <w:b/>
                <w:bCs/>
                <w:color w:val="000000"/>
                <w:sz w:val="28"/>
                <w:szCs w:val="28"/>
                <w:lang w:val="uk-UA"/>
              </w:rPr>
            </w:pPr>
            <w:r w:rsidRPr="00EB2556">
              <w:rPr>
                <w:rFonts w:ascii="Times New Roman" w:hAnsi="Times New Roman" w:cs="Times New Roman"/>
                <w:b/>
                <w:bCs/>
                <w:color w:val="000000"/>
                <w:sz w:val="28"/>
                <w:szCs w:val="28"/>
                <w:lang w:val="uk-UA"/>
              </w:rPr>
              <w:t>Чернєв Є.В. (посв. №26)</w:t>
            </w:r>
          </w:p>
          <w:p w:rsidR="00EB2556" w:rsidRPr="00EB2556" w:rsidRDefault="00EB2556" w:rsidP="00EB2556">
            <w:pPr>
              <w:jc w:val="right"/>
              <w:rPr>
                <w:rFonts w:ascii="Times New Roman" w:hAnsi="Times New Roman" w:cs="Times New Roman"/>
                <w:b/>
                <w:bCs/>
                <w:color w:val="000000"/>
                <w:sz w:val="28"/>
                <w:szCs w:val="28"/>
                <w:lang w:val="uk-UA"/>
              </w:rPr>
            </w:pPr>
            <w:r w:rsidRPr="00EB2556">
              <w:rPr>
                <w:rFonts w:ascii="Times New Roman" w:hAnsi="Times New Roman" w:cs="Times New Roman"/>
                <w:b/>
                <w:bCs/>
                <w:color w:val="000000"/>
                <w:sz w:val="28"/>
                <w:szCs w:val="28"/>
                <w:lang w:val="uk-UA"/>
              </w:rPr>
              <w:t>Рудик К.О. (посв. №211)</w:t>
            </w:r>
          </w:p>
          <w:p w:rsidR="00EB2556" w:rsidRPr="00EB2556" w:rsidRDefault="00EB2556" w:rsidP="00EB2556">
            <w:pPr>
              <w:jc w:val="right"/>
              <w:rPr>
                <w:rFonts w:ascii="Times New Roman" w:hAnsi="Times New Roman" w:cs="Times New Roman"/>
                <w:b/>
                <w:bCs/>
                <w:color w:val="000000"/>
                <w:sz w:val="28"/>
                <w:szCs w:val="28"/>
                <w:lang w:val="ru-RU"/>
              </w:rPr>
            </w:pPr>
            <w:r w:rsidRPr="00EB2556">
              <w:rPr>
                <w:rFonts w:ascii="Times New Roman" w:hAnsi="Times New Roman" w:cs="Times New Roman"/>
                <w:b/>
                <w:bCs/>
                <w:color w:val="000000"/>
                <w:sz w:val="28"/>
                <w:szCs w:val="28"/>
                <w:lang w:val="ru-RU"/>
              </w:rPr>
              <w:t>Крячко М.В. (посв. №60)</w:t>
            </w:r>
          </w:p>
          <w:p w:rsidR="00EB2556" w:rsidRPr="00EB2556" w:rsidRDefault="00EB2556" w:rsidP="00EB2556">
            <w:pPr>
              <w:jc w:val="right"/>
              <w:rPr>
                <w:rFonts w:ascii="Times New Roman" w:hAnsi="Times New Roman" w:cs="Times New Roman"/>
                <w:b/>
                <w:bCs/>
                <w:color w:val="000000"/>
                <w:sz w:val="28"/>
                <w:szCs w:val="28"/>
                <w:lang w:val="uk-UA"/>
              </w:rPr>
            </w:pPr>
            <w:r w:rsidRPr="00EB2556">
              <w:rPr>
                <w:rFonts w:ascii="Times New Roman" w:hAnsi="Times New Roman" w:cs="Times New Roman"/>
                <w:b/>
                <w:bCs/>
                <w:color w:val="000000"/>
                <w:sz w:val="28"/>
                <w:szCs w:val="28"/>
                <w:lang w:val="uk-UA"/>
              </w:rPr>
              <w:t>Василенко Л.В. (№224)</w:t>
            </w:r>
          </w:p>
          <w:p w:rsidR="00EB2556" w:rsidRPr="00EB2556" w:rsidRDefault="00EB2556" w:rsidP="00EB2556">
            <w:pPr>
              <w:jc w:val="right"/>
              <w:rPr>
                <w:rFonts w:ascii="Times New Roman" w:hAnsi="Times New Roman" w:cs="Times New Roman"/>
                <w:b/>
                <w:bCs/>
                <w:color w:val="000000"/>
                <w:sz w:val="28"/>
                <w:szCs w:val="28"/>
                <w:lang w:val="uk-UA"/>
              </w:rPr>
            </w:pPr>
            <w:r w:rsidRPr="00EB2556">
              <w:rPr>
                <w:rFonts w:ascii="Times New Roman" w:hAnsi="Times New Roman" w:cs="Times New Roman"/>
                <w:b/>
                <w:bCs/>
                <w:color w:val="000000"/>
                <w:sz w:val="28"/>
                <w:szCs w:val="28"/>
                <w:lang w:val="uk-UA"/>
              </w:rPr>
              <w:t>Василів І.В. (№365)</w:t>
            </w:r>
          </w:p>
          <w:p w:rsidR="00EB2556" w:rsidRPr="00EB2556" w:rsidRDefault="00EB2556" w:rsidP="00EB2556">
            <w:pPr>
              <w:jc w:val="right"/>
              <w:rPr>
                <w:rFonts w:ascii="Times New Roman" w:hAnsi="Times New Roman" w:cs="Times New Roman"/>
                <w:b/>
                <w:bCs/>
                <w:color w:val="000000"/>
                <w:sz w:val="28"/>
                <w:szCs w:val="28"/>
                <w:lang w:val="uk-UA"/>
              </w:rPr>
            </w:pPr>
            <w:r w:rsidRPr="00EB2556">
              <w:rPr>
                <w:rFonts w:ascii="Times New Roman" w:hAnsi="Times New Roman" w:cs="Times New Roman"/>
                <w:b/>
                <w:bCs/>
                <w:color w:val="000000"/>
                <w:sz w:val="28"/>
                <w:szCs w:val="28"/>
                <w:lang w:val="uk-UA"/>
              </w:rPr>
              <w:t>Васильєв І.С. (№359)</w:t>
            </w:r>
          </w:p>
          <w:p w:rsidR="00EB2556" w:rsidRPr="00EB2556" w:rsidRDefault="00EB2556" w:rsidP="00EB2556">
            <w:pPr>
              <w:jc w:val="right"/>
              <w:rPr>
                <w:rFonts w:ascii="Times New Roman" w:hAnsi="Times New Roman" w:cs="Times New Roman"/>
                <w:b/>
                <w:bCs/>
                <w:color w:val="000000"/>
                <w:sz w:val="28"/>
                <w:szCs w:val="28"/>
                <w:lang w:val="ru-RU"/>
              </w:rPr>
            </w:pPr>
            <w:r w:rsidRPr="00EB2556">
              <w:rPr>
                <w:rFonts w:ascii="Times New Roman" w:hAnsi="Times New Roman" w:cs="Times New Roman"/>
                <w:b/>
                <w:bCs/>
                <w:color w:val="000000"/>
                <w:sz w:val="28"/>
                <w:szCs w:val="28"/>
                <w:lang w:val="ru-RU"/>
              </w:rPr>
              <w:t>Васильченко Г.І. (№319)</w:t>
            </w:r>
          </w:p>
          <w:p w:rsidR="00EB2556" w:rsidRPr="00EB2556" w:rsidRDefault="00EB2556" w:rsidP="00EB2556">
            <w:pPr>
              <w:jc w:val="right"/>
              <w:rPr>
                <w:rFonts w:ascii="Times New Roman" w:hAnsi="Times New Roman" w:cs="Times New Roman"/>
                <w:b/>
                <w:bCs/>
                <w:color w:val="000000"/>
                <w:sz w:val="28"/>
                <w:szCs w:val="28"/>
                <w:lang w:val="ru-RU"/>
              </w:rPr>
            </w:pPr>
            <w:r w:rsidRPr="00EB2556">
              <w:rPr>
                <w:rFonts w:ascii="Times New Roman" w:hAnsi="Times New Roman" w:cs="Times New Roman"/>
                <w:b/>
                <w:bCs/>
                <w:color w:val="000000"/>
                <w:sz w:val="28"/>
                <w:szCs w:val="28"/>
                <w:lang w:val="ru-RU"/>
              </w:rPr>
              <w:t>Ватрас В.А. (№70)</w:t>
            </w:r>
          </w:p>
          <w:p w:rsidR="00EB2556" w:rsidRPr="00EB2556" w:rsidRDefault="00EB2556" w:rsidP="00EB2556">
            <w:pPr>
              <w:jc w:val="right"/>
              <w:rPr>
                <w:rFonts w:ascii="Times New Roman" w:hAnsi="Times New Roman" w:cs="Times New Roman"/>
                <w:b/>
                <w:bCs/>
                <w:color w:val="000000"/>
                <w:sz w:val="28"/>
                <w:szCs w:val="28"/>
                <w:lang w:val="ru-RU"/>
              </w:rPr>
            </w:pPr>
            <w:r w:rsidRPr="00EB2556">
              <w:rPr>
                <w:rFonts w:ascii="Times New Roman" w:hAnsi="Times New Roman" w:cs="Times New Roman"/>
                <w:b/>
                <w:bCs/>
                <w:color w:val="000000"/>
                <w:sz w:val="28"/>
                <w:szCs w:val="28"/>
                <w:lang w:val="ru-RU"/>
              </w:rPr>
              <w:t>Жел</w:t>
            </w:r>
            <w:bookmarkStart w:id="0" w:name="_GoBack"/>
            <w:bookmarkEnd w:id="0"/>
            <w:r w:rsidRPr="00EB2556">
              <w:rPr>
                <w:rFonts w:ascii="Times New Roman" w:hAnsi="Times New Roman" w:cs="Times New Roman"/>
                <w:b/>
                <w:bCs/>
                <w:color w:val="000000"/>
                <w:sz w:val="28"/>
                <w:szCs w:val="28"/>
                <w:lang w:val="ru-RU"/>
              </w:rPr>
              <w:t>езняк Я.І. (№212)</w:t>
            </w:r>
          </w:p>
          <w:p w:rsidR="00EB2556" w:rsidRPr="00EB2556" w:rsidRDefault="00EB2556" w:rsidP="00EB2556">
            <w:pPr>
              <w:jc w:val="right"/>
              <w:rPr>
                <w:rFonts w:ascii="Times New Roman" w:hAnsi="Times New Roman" w:cs="Times New Roman"/>
                <w:b/>
                <w:bCs/>
                <w:color w:val="000000"/>
                <w:sz w:val="28"/>
                <w:szCs w:val="28"/>
                <w:lang w:val="ru-RU"/>
              </w:rPr>
            </w:pPr>
            <w:r w:rsidRPr="00EB2556">
              <w:rPr>
                <w:rFonts w:ascii="Times New Roman" w:hAnsi="Times New Roman" w:cs="Times New Roman"/>
                <w:b/>
                <w:bCs/>
                <w:color w:val="000000"/>
                <w:sz w:val="28"/>
                <w:szCs w:val="28"/>
                <w:lang w:val="ru-RU"/>
              </w:rPr>
              <w:t>Жмеренецький О.С. (№391)</w:t>
            </w:r>
          </w:p>
          <w:p w:rsidR="00EB2556" w:rsidRPr="00EB2556" w:rsidRDefault="00EB2556" w:rsidP="00EB2556">
            <w:pPr>
              <w:jc w:val="right"/>
              <w:rPr>
                <w:rFonts w:ascii="Times New Roman" w:hAnsi="Times New Roman" w:cs="Times New Roman"/>
                <w:b/>
                <w:bCs/>
                <w:color w:val="000000"/>
                <w:sz w:val="28"/>
                <w:szCs w:val="28"/>
                <w:lang w:val="ru-RU"/>
              </w:rPr>
            </w:pPr>
            <w:r w:rsidRPr="00EB2556">
              <w:rPr>
                <w:rFonts w:ascii="Times New Roman" w:hAnsi="Times New Roman" w:cs="Times New Roman"/>
                <w:b/>
                <w:bCs/>
                <w:color w:val="000000"/>
                <w:sz w:val="28"/>
                <w:szCs w:val="28"/>
                <w:lang w:val="ru-RU"/>
              </w:rPr>
              <w:t>Клименко Ю.Л. (№210)</w:t>
            </w:r>
          </w:p>
          <w:p w:rsidR="00EB2556" w:rsidRPr="00EB2556" w:rsidRDefault="00EB2556" w:rsidP="00EB2556">
            <w:pPr>
              <w:jc w:val="right"/>
              <w:rPr>
                <w:rFonts w:ascii="Times New Roman" w:hAnsi="Times New Roman" w:cs="Times New Roman"/>
                <w:b/>
                <w:bCs/>
                <w:color w:val="000000"/>
                <w:sz w:val="28"/>
                <w:szCs w:val="28"/>
                <w:lang w:val="ru-RU"/>
              </w:rPr>
            </w:pPr>
            <w:r w:rsidRPr="00EB2556">
              <w:rPr>
                <w:rFonts w:ascii="Times New Roman" w:hAnsi="Times New Roman" w:cs="Times New Roman"/>
                <w:b/>
                <w:bCs/>
                <w:color w:val="000000"/>
                <w:sz w:val="28"/>
                <w:szCs w:val="28"/>
                <w:lang w:val="ru-RU"/>
              </w:rPr>
              <w:t>Козак В.В. (№67)</w:t>
            </w:r>
          </w:p>
          <w:p w:rsidR="00EB2556" w:rsidRPr="00EB2556" w:rsidRDefault="00EB2556" w:rsidP="00EB2556">
            <w:pPr>
              <w:jc w:val="right"/>
              <w:rPr>
                <w:rFonts w:ascii="Times New Roman" w:hAnsi="Times New Roman" w:cs="Times New Roman"/>
                <w:b/>
                <w:bCs/>
                <w:color w:val="000000"/>
                <w:sz w:val="28"/>
                <w:szCs w:val="28"/>
                <w:lang w:val="ru-RU"/>
              </w:rPr>
            </w:pPr>
            <w:r w:rsidRPr="00EB2556">
              <w:rPr>
                <w:rFonts w:ascii="Times New Roman" w:hAnsi="Times New Roman" w:cs="Times New Roman"/>
                <w:b/>
                <w:bCs/>
                <w:color w:val="000000"/>
                <w:sz w:val="28"/>
                <w:szCs w:val="28"/>
                <w:lang w:val="ru-RU"/>
              </w:rPr>
              <w:t>Лозинський Р.М. (№222)</w:t>
            </w:r>
          </w:p>
          <w:p w:rsidR="00EB2556" w:rsidRPr="00EB2556" w:rsidRDefault="00EB2556" w:rsidP="00EB2556">
            <w:pPr>
              <w:jc w:val="right"/>
              <w:rPr>
                <w:rFonts w:ascii="Times New Roman" w:hAnsi="Times New Roman" w:cs="Times New Roman"/>
                <w:b/>
                <w:bCs/>
                <w:color w:val="000000"/>
                <w:sz w:val="28"/>
                <w:szCs w:val="28"/>
                <w:lang w:val="ru-RU"/>
              </w:rPr>
            </w:pPr>
            <w:r w:rsidRPr="00EB2556">
              <w:rPr>
                <w:rFonts w:ascii="Times New Roman" w:hAnsi="Times New Roman" w:cs="Times New Roman"/>
                <w:b/>
                <w:bCs/>
                <w:color w:val="000000"/>
                <w:sz w:val="28"/>
                <w:szCs w:val="28"/>
                <w:lang w:val="ru-RU"/>
              </w:rPr>
              <w:t>Мокан В.І. (№99)</w:t>
            </w:r>
          </w:p>
          <w:p w:rsidR="00EB2556" w:rsidRPr="00EB2556" w:rsidRDefault="00EB2556" w:rsidP="00EB2556">
            <w:pPr>
              <w:jc w:val="right"/>
              <w:rPr>
                <w:rFonts w:ascii="Times New Roman" w:hAnsi="Times New Roman" w:cs="Times New Roman"/>
                <w:b/>
                <w:bCs/>
                <w:color w:val="000000"/>
                <w:sz w:val="28"/>
                <w:szCs w:val="28"/>
                <w:lang w:val="ru-RU"/>
              </w:rPr>
            </w:pPr>
            <w:r w:rsidRPr="00EB2556">
              <w:rPr>
                <w:rFonts w:ascii="Times New Roman" w:hAnsi="Times New Roman" w:cs="Times New Roman"/>
                <w:b/>
                <w:bCs/>
                <w:color w:val="000000"/>
                <w:sz w:val="28"/>
                <w:szCs w:val="28"/>
                <w:lang w:val="ru-RU"/>
              </w:rPr>
              <w:t>Мотовиловець А.В. (№90)</w:t>
            </w:r>
          </w:p>
          <w:p w:rsidR="00EB2556" w:rsidRPr="00EB2556" w:rsidRDefault="00EB2556" w:rsidP="00EB2556">
            <w:pPr>
              <w:jc w:val="right"/>
              <w:rPr>
                <w:rFonts w:ascii="Times New Roman" w:hAnsi="Times New Roman" w:cs="Times New Roman"/>
                <w:b/>
                <w:bCs/>
                <w:color w:val="000000"/>
                <w:sz w:val="28"/>
                <w:szCs w:val="28"/>
                <w:lang w:val="ru-RU"/>
              </w:rPr>
            </w:pPr>
            <w:r w:rsidRPr="00EB2556">
              <w:rPr>
                <w:rFonts w:ascii="Times New Roman" w:hAnsi="Times New Roman" w:cs="Times New Roman"/>
                <w:b/>
                <w:bCs/>
                <w:color w:val="000000"/>
                <w:sz w:val="28"/>
                <w:szCs w:val="28"/>
                <w:lang w:val="ru-RU"/>
              </w:rPr>
              <w:t>Рахманін С.І. (№216)</w:t>
            </w:r>
          </w:p>
          <w:p w:rsidR="00EB2556" w:rsidRPr="00EB2556" w:rsidRDefault="00EB2556" w:rsidP="00EB2556">
            <w:pPr>
              <w:jc w:val="right"/>
              <w:rPr>
                <w:rFonts w:ascii="Times New Roman" w:hAnsi="Times New Roman" w:cs="Times New Roman"/>
                <w:b/>
                <w:bCs/>
                <w:color w:val="000000"/>
                <w:sz w:val="28"/>
                <w:szCs w:val="28"/>
                <w:lang w:val="ru-RU"/>
              </w:rPr>
            </w:pPr>
            <w:r w:rsidRPr="00EB2556">
              <w:rPr>
                <w:rFonts w:ascii="Times New Roman" w:hAnsi="Times New Roman" w:cs="Times New Roman"/>
                <w:b/>
                <w:bCs/>
                <w:color w:val="000000"/>
                <w:sz w:val="28"/>
                <w:szCs w:val="28"/>
                <w:lang w:val="ru-RU"/>
              </w:rPr>
              <w:t>Рущишин Я.І. (№318)</w:t>
            </w:r>
          </w:p>
          <w:p w:rsidR="00EB2556" w:rsidRPr="00EB2556" w:rsidRDefault="00EB2556" w:rsidP="00EB2556">
            <w:pPr>
              <w:jc w:val="right"/>
              <w:rPr>
                <w:rFonts w:ascii="Times New Roman" w:hAnsi="Times New Roman" w:cs="Times New Roman"/>
                <w:b/>
                <w:bCs/>
                <w:color w:val="000000"/>
                <w:sz w:val="28"/>
                <w:szCs w:val="28"/>
                <w:lang w:val="ru-RU"/>
              </w:rPr>
            </w:pPr>
            <w:r w:rsidRPr="00EB2556">
              <w:rPr>
                <w:rFonts w:ascii="Times New Roman" w:hAnsi="Times New Roman" w:cs="Times New Roman"/>
                <w:b/>
                <w:bCs/>
                <w:color w:val="000000"/>
                <w:sz w:val="28"/>
                <w:szCs w:val="28"/>
                <w:lang w:val="ru-RU"/>
              </w:rPr>
              <w:t>Соха Р.В. (№281)</w:t>
            </w:r>
          </w:p>
          <w:p w:rsidR="00EB2556" w:rsidRPr="00EB2556" w:rsidRDefault="00EB2556" w:rsidP="00EB2556">
            <w:pPr>
              <w:jc w:val="right"/>
              <w:rPr>
                <w:rFonts w:ascii="Times New Roman" w:hAnsi="Times New Roman" w:cs="Times New Roman"/>
                <w:b/>
                <w:bCs/>
                <w:color w:val="000000"/>
                <w:sz w:val="28"/>
                <w:szCs w:val="28"/>
                <w:lang w:val="ru-RU"/>
              </w:rPr>
            </w:pPr>
            <w:r w:rsidRPr="00EB2556">
              <w:rPr>
                <w:rFonts w:ascii="Times New Roman" w:hAnsi="Times New Roman" w:cs="Times New Roman"/>
                <w:b/>
                <w:bCs/>
                <w:color w:val="000000"/>
                <w:sz w:val="28"/>
                <w:szCs w:val="28"/>
                <w:lang w:val="ru-RU"/>
              </w:rPr>
              <w:t>Стефанишина О.А. (№218)</w:t>
            </w:r>
          </w:p>
          <w:p w:rsidR="00EB2556" w:rsidRPr="00EB2556" w:rsidRDefault="00EB2556" w:rsidP="00EB2556">
            <w:pPr>
              <w:jc w:val="right"/>
              <w:rPr>
                <w:rFonts w:ascii="Times New Roman" w:hAnsi="Times New Roman" w:cs="Times New Roman"/>
                <w:b/>
                <w:bCs/>
                <w:color w:val="000000"/>
                <w:sz w:val="28"/>
                <w:szCs w:val="28"/>
                <w:lang w:val="ru-RU"/>
              </w:rPr>
            </w:pPr>
            <w:r w:rsidRPr="00EB2556">
              <w:rPr>
                <w:rFonts w:ascii="Times New Roman" w:hAnsi="Times New Roman" w:cs="Times New Roman"/>
                <w:b/>
                <w:bCs/>
                <w:color w:val="000000"/>
                <w:sz w:val="28"/>
                <w:szCs w:val="28"/>
                <w:lang w:val="ru-RU"/>
              </w:rPr>
              <w:t>Устінова О.Ю. (№213)</w:t>
            </w:r>
          </w:p>
          <w:p w:rsidR="00EB2556" w:rsidRPr="00EB2556" w:rsidRDefault="00EB2556" w:rsidP="00EB2556">
            <w:pPr>
              <w:jc w:val="right"/>
              <w:rPr>
                <w:rFonts w:ascii="Times New Roman" w:hAnsi="Times New Roman" w:cs="Times New Roman"/>
                <w:b/>
                <w:bCs/>
                <w:color w:val="000000"/>
                <w:sz w:val="28"/>
                <w:szCs w:val="28"/>
                <w:lang w:val="ru-RU"/>
              </w:rPr>
            </w:pPr>
            <w:r w:rsidRPr="00EB2556">
              <w:rPr>
                <w:rFonts w:ascii="Times New Roman" w:hAnsi="Times New Roman" w:cs="Times New Roman"/>
                <w:b/>
                <w:bCs/>
                <w:color w:val="000000"/>
                <w:sz w:val="28"/>
                <w:szCs w:val="28"/>
                <w:lang w:val="ru-RU"/>
              </w:rPr>
              <w:t>Федієнко О.П. (№89)</w:t>
            </w:r>
          </w:p>
          <w:p w:rsidR="00EB2556" w:rsidRPr="00EB2556" w:rsidRDefault="00EB2556" w:rsidP="00EB2556">
            <w:pPr>
              <w:jc w:val="right"/>
              <w:rPr>
                <w:rFonts w:ascii="Times New Roman" w:hAnsi="Times New Roman" w:cs="Times New Roman"/>
                <w:b/>
                <w:bCs/>
                <w:color w:val="000000"/>
                <w:sz w:val="28"/>
                <w:szCs w:val="28"/>
                <w:lang w:val="ru-RU"/>
              </w:rPr>
            </w:pPr>
            <w:r w:rsidRPr="00EB2556">
              <w:rPr>
                <w:rFonts w:ascii="Times New Roman" w:hAnsi="Times New Roman" w:cs="Times New Roman"/>
                <w:b/>
                <w:bCs/>
                <w:color w:val="000000"/>
                <w:sz w:val="28"/>
                <w:szCs w:val="28"/>
                <w:lang w:val="ru-RU"/>
              </w:rPr>
              <w:t>Цабаль В.В. (№219)</w:t>
            </w:r>
          </w:p>
          <w:p w:rsidR="00EB2556" w:rsidRPr="00EB2556" w:rsidRDefault="00EB2556" w:rsidP="00EB2556">
            <w:pPr>
              <w:jc w:val="right"/>
              <w:rPr>
                <w:rFonts w:ascii="Times New Roman" w:hAnsi="Times New Roman" w:cs="Times New Roman"/>
                <w:b/>
                <w:bCs/>
                <w:color w:val="000000"/>
                <w:sz w:val="28"/>
                <w:szCs w:val="28"/>
                <w:lang w:val="ru-RU"/>
              </w:rPr>
            </w:pPr>
            <w:r w:rsidRPr="00EB2556">
              <w:rPr>
                <w:rFonts w:ascii="Times New Roman" w:hAnsi="Times New Roman" w:cs="Times New Roman"/>
                <w:b/>
                <w:bCs/>
                <w:color w:val="000000"/>
                <w:sz w:val="28"/>
                <w:szCs w:val="28"/>
                <w:lang w:val="ru-RU"/>
              </w:rPr>
              <w:t>Штепа С.С. (№283)</w:t>
            </w:r>
          </w:p>
          <w:p w:rsidR="00A93A44" w:rsidRDefault="00A93A44" w:rsidP="00151C8E">
            <w:pPr>
              <w:jc w:val="right"/>
              <w:rPr>
                <w:rFonts w:ascii="Times New Roman" w:hAnsi="Times New Roman" w:cs="Times New Roman"/>
                <w:b/>
                <w:color w:val="000000"/>
                <w:sz w:val="28"/>
                <w:szCs w:val="28"/>
                <w:lang w:val="uk-UA"/>
              </w:rPr>
            </w:pPr>
          </w:p>
          <w:p w:rsidR="00151C8E" w:rsidRPr="00151C8E" w:rsidRDefault="00151C8E" w:rsidP="00151C8E">
            <w:pPr>
              <w:jc w:val="right"/>
              <w:rPr>
                <w:rFonts w:ascii="Times New Roman" w:hAnsi="Times New Roman" w:cs="Times New Roman"/>
                <w:b/>
                <w:color w:val="000000"/>
                <w:sz w:val="28"/>
                <w:szCs w:val="28"/>
                <w:lang w:val="uk-UA"/>
              </w:rPr>
            </w:pPr>
          </w:p>
          <w:p w:rsidR="00E95425" w:rsidRPr="00151C8E" w:rsidRDefault="00E95425" w:rsidP="00151C8E">
            <w:pPr>
              <w:widowControl w:val="0"/>
              <w:tabs>
                <w:tab w:val="left" w:pos="993"/>
              </w:tabs>
              <w:autoSpaceDE w:val="0"/>
              <w:autoSpaceDN w:val="0"/>
              <w:adjustRightInd w:val="0"/>
              <w:ind w:right="-6"/>
              <w:jc w:val="right"/>
              <w:rPr>
                <w:rFonts w:ascii="Times New Roman" w:hAnsi="Times New Roman" w:cs="Times New Roman"/>
                <w:sz w:val="28"/>
                <w:szCs w:val="28"/>
                <w:lang w:val="uk-UA"/>
              </w:rPr>
            </w:pPr>
          </w:p>
        </w:tc>
      </w:tr>
    </w:tbl>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p>
    <w:p w:rsidR="00151C8E" w:rsidRPr="00151C8E" w:rsidRDefault="00151C8E">
      <w:pPr>
        <w:widowControl w:val="0"/>
        <w:tabs>
          <w:tab w:val="left" w:pos="6521"/>
          <w:tab w:val="left" w:pos="6663"/>
        </w:tabs>
        <w:autoSpaceDE w:val="0"/>
        <w:autoSpaceDN w:val="0"/>
        <w:adjustRightInd w:val="0"/>
        <w:spacing w:line="480" w:lineRule="auto"/>
        <w:ind w:right="-6"/>
        <w:jc w:val="both"/>
        <w:rPr>
          <w:rFonts w:ascii="Times New Roman" w:hAnsi="Times New Roman" w:cs="Times New Roman"/>
          <w:b/>
          <w:bCs/>
          <w:sz w:val="28"/>
          <w:szCs w:val="28"/>
          <w:lang w:val="uk-UA"/>
        </w:rPr>
      </w:pPr>
    </w:p>
    <w:p w:rsidR="00151C8E" w:rsidRPr="00151C8E" w:rsidRDefault="00151C8E">
      <w:pPr>
        <w:widowControl w:val="0"/>
        <w:tabs>
          <w:tab w:val="left" w:pos="993"/>
        </w:tabs>
        <w:autoSpaceDE w:val="0"/>
        <w:autoSpaceDN w:val="0"/>
        <w:adjustRightInd w:val="0"/>
        <w:ind w:right="-6" w:firstLine="709"/>
        <w:jc w:val="both"/>
        <w:rPr>
          <w:rFonts w:ascii="Times New Roman" w:hAnsi="Times New Roman" w:cs="Times New Roman"/>
          <w:sz w:val="28"/>
          <w:szCs w:val="28"/>
          <w:lang w:val="uk-UA"/>
        </w:rPr>
      </w:pPr>
    </w:p>
    <w:sectPr w:rsidR="00151C8E" w:rsidRPr="00151C8E">
      <w:pgSz w:w="11900" w:h="16840"/>
      <w:pgMar w:top="1134" w:right="567"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Times">
    <w:panose1 w:val="02000500000000000000"/>
    <w:charset w:val="00"/>
    <w:family w:val="auto"/>
    <w:pitch w:val="variable"/>
    <w:sig w:usb0="E00002FF" w:usb1="5000205A"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00000009"/>
    <w:lvl w:ilvl="0" w:tplc="00000321">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72F45E4"/>
    <w:multiLevelType w:val="hybridMultilevel"/>
    <w:tmpl w:val="DBE0DD4C"/>
    <w:lvl w:ilvl="0" w:tplc="CF741EFE">
      <w:start w:val="1"/>
      <w:numFmt w:val="bullet"/>
      <w:lvlText w:val=""/>
      <w:lvlJc w:val="left"/>
      <w:pPr>
        <w:ind w:left="2845" w:hanging="360"/>
      </w:pPr>
      <w:rPr>
        <w:rFonts w:ascii="Symbol" w:hAnsi="Symbol"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bordersDoNotSurroundHeader/>
  <w:bordersDoNotSurroundFooter/>
  <w:defaultTabStop w:val="708"/>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425"/>
    <w:rsid w:val="001053A1"/>
    <w:rsid w:val="00151C8E"/>
    <w:rsid w:val="0046399B"/>
    <w:rsid w:val="00493BBC"/>
    <w:rsid w:val="006F2612"/>
    <w:rsid w:val="00A93A44"/>
    <w:rsid w:val="00AA087E"/>
    <w:rsid w:val="00D05F2F"/>
    <w:rsid w:val="00E8359D"/>
    <w:rsid w:val="00E95425"/>
    <w:rsid w:val="00EB25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602D6AE0"/>
  <w14:defaultImageDpi w14:val="0"/>
  <w15:docId w15:val="{62AF7950-8452-E941-BFC3-5ED11CE92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5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2285</Words>
  <Characters>14928</Characters>
  <Application>Microsoft Office Word</Application>
  <DocSecurity>0</DocSecurity>
  <Lines>347</Lines>
  <Paragraphs>95</Paragraphs>
  <ScaleCrop>false</ScaleCrop>
  <HeadingPairs>
    <vt:vector size="2" baseType="variant">
      <vt:variant>
        <vt:lpstr>Title</vt:lpstr>
      </vt:variant>
      <vt:variant>
        <vt:i4>1</vt:i4>
      </vt:variant>
    </vt:vector>
  </HeadingPairs>
  <TitlesOfParts>
    <vt:vector size="1" baseType="lpstr">
      <vt:lpstr>ПОЯСНЮВАЛЬНА ЗАПИСКА</vt:lpstr>
    </vt:vector>
  </TitlesOfParts>
  <Manager/>
  <Company/>
  <LinksUpToDate>false</LinksUpToDate>
  <CharactersWithSpaces>17118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
  <cp:keywords/>
  <dc:description/>
  <cp:lastModifiedBy>OZ</cp:lastModifiedBy>
  <cp:revision>9</cp:revision>
  <dcterms:created xsi:type="dcterms:W3CDTF">2019-12-11T14:05:00Z</dcterms:created>
  <dcterms:modified xsi:type="dcterms:W3CDTF">2020-01-15T12:19:00Z</dcterms:modified>
  <cp:category/>
</cp:coreProperties>
</file>