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25C" w:rsidRDefault="00FE725C" w:rsidP="0024678F">
      <w:pPr>
        <w:widowControl w:val="0"/>
        <w:spacing w:before="120" w:after="120" w:line="276" w:lineRule="auto"/>
        <w:ind w:firstLine="0"/>
        <w:jc w:val="center"/>
        <w:rPr>
          <w:b/>
          <w:bCs/>
          <w:sz w:val="27"/>
          <w:szCs w:val="27"/>
        </w:rPr>
      </w:pPr>
    </w:p>
    <w:p w:rsidR="00FE725C" w:rsidRDefault="00FE725C" w:rsidP="0024678F">
      <w:pPr>
        <w:widowControl w:val="0"/>
        <w:spacing w:before="120" w:after="120" w:line="276" w:lineRule="auto"/>
        <w:ind w:firstLine="0"/>
        <w:jc w:val="center"/>
        <w:rPr>
          <w:b/>
          <w:bCs/>
          <w:sz w:val="27"/>
          <w:szCs w:val="27"/>
        </w:rPr>
      </w:pPr>
    </w:p>
    <w:p w:rsidR="004970ED" w:rsidRDefault="004970ED" w:rsidP="0024678F">
      <w:pPr>
        <w:widowControl w:val="0"/>
        <w:spacing w:before="120" w:after="120" w:line="276" w:lineRule="auto"/>
        <w:ind w:firstLine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ПОЯСНЮВАЛЬНА ЗАПИСКА</w:t>
      </w:r>
    </w:p>
    <w:p w:rsidR="004970ED" w:rsidRPr="004970ED" w:rsidRDefault="004970ED" w:rsidP="0024678F">
      <w:pPr>
        <w:widowControl w:val="0"/>
        <w:spacing w:before="120" w:after="120" w:line="276" w:lineRule="auto"/>
        <w:ind w:firstLine="0"/>
        <w:jc w:val="center"/>
        <w:rPr>
          <w:b/>
          <w:bCs/>
          <w:sz w:val="28"/>
          <w:szCs w:val="28"/>
        </w:rPr>
      </w:pPr>
      <w:r w:rsidRPr="004970ED">
        <w:rPr>
          <w:b/>
          <w:bCs/>
          <w:sz w:val="28"/>
          <w:szCs w:val="28"/>
        </w:rPr>
        <w:t>до проекту Закону України</w:t>
      </w:r>
    </w:p>
    <w:p w:rsidR="004970ED" w:rsidRPr="004970ED" w:rsidRDefault="004970ED" w:rsidP="0024678F">
      <w:pPr>
        <w:shd w:val="clear" w:color="auto" w:fill="FFFFFF"/>
        <w:spacing w:before="120" w:after="120" w:line="276" w:lineRule="auto"/>
        <w:jc w:val="center"/>
        <w:rPr>
          <w:b/>
          <w:bCs/>
          <w:sz w:val="28"/>
          <w:szCs w:val="28"/>
        </w:rPr>
      </w:pPr>
      <w:r w:rsidRPr="004970ED">
        <w:rPr>
          <w:b/>
          <w:sz w:val="28"/>
          <w:szCs w:val="28"/>
        </w:rPr>
        <w:t>Про внесення змін до Закону України «Про судоустрій і статус суддів»</w:t>
      </w:r>
      <w:r w:rsidRPr="004970ED">
        <w:rPr>
          <w:b/>
          <w:bCs/>
          <w:sz w:val="28"/>
          <w:szCs w:val="28"/>
        </w:rPr>
        <w:t> </w:t>
      </w:r>
    </w:p>
    <w:p w:rsidR="004970ED" w:rsidRPr="004970ED" w:rsidRDefault="004970ED" w:rsidP="0024678F">
      <w:pPr>
        <w:shd w:val="clear" w:color="auto" w:fill="FFFFFF"/>
        <w:spacing w:before="120" w:after="120" w:line="276" w:lineRule="auto"/>
        <w:jc w:val="center"/>
        <w:rPr>
          <w:b/>
          <w:bCs/>
        </w:rPr>
      </w:pPr>
    </w:p>
    <w:p w:rsidR="00F31B78" w:rsidRPr="00FA20DD" w:rsidRDefault="004970ED" w:rsidP="0024678F">
      <w:pPr>
        <w:pStyle w:val="a3"/>
        <w:numPr>
          <w:ilvl w:val="0"/>
          <w:numId w:val="1"/>
        </w:numPr>
        <w:spacing w:before="120" w:after="120" w:line="276" w:lineRule="auto"/>
        <w:rPr>
          <w:b/>
          <w:bCs/>
          <w:sz w:val="28"/>
          <w:szCs w:val="28"/>
        </w:rPr>
      </w:pPr>
      <w:r w:rsidRPr="00F31B78">
        <w:rPr>
          <w:b/>
          <w:bCs/>
          <w:sz w:val="28"/>
          <w:szCs w:val="28"/>
        </w:rPr>
        <w:t>Обґрунтування необхідності прийняття законопроекту</w:t>
      </w:r>
    </w:p>
    <w:p w:rsidR="00F31B78" w:rsidRDefault="00FA20DD" w:rsidP="0024678F">
      <w:pPr>
        <w:pStyle w:val="a3"/>
        <w:spacing w:before="120" w:after="120" w:line="276" w:lineRule="auto"/>
        <w:ind w:left="0"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Справи у спорах, що виникають з відносин, пов’язаних із захистом економічної конкуренції, захистом від недобросовісної конкуренції, державною допомогою суб’єктам господарювання та оскарженням в цій сфері рішень Антимонопольного комітету України – єдині за своєю правовою природою, випливають з </w:t>
      </w:r>
      <w:proofErr w:type="spellStart"/>
      <w:r>
        <w:rPr>
          <w:bCs/>
          <w:sz w:val="28"/>
          <w:szCs w:val="28"/>
        </w:rPr>
        <w:t>конкуренційних</w:t>
      </w:r>
      <w:proofErr w:type="spellEnd"/>
      <w:r>
        <w:rPr>
          <w:bCs/>
          <w:sz w:val="28"/>
          <w:szCs w:val="28"/>
        </w:rPr>
        <w:t xml:space="preserve"> правовідносин, потребують глибокого економічного аналізу, зокрема (крім недобросовісної конкуренції) визначення товарного ринку та становища (монопольного або домінуючого) суб’єктів господарювання на ньому. </w:t>
      </w:r>
    </w:p>
    <w:p w:rsidR="00FA20DD" w:rsidRDefault="00FA20DD" w:rsidP="0024678F">
      <w:pPr>
        <w:pStyle w:val="a3"/>
        <w:spacing w:before="120" w:after="120" w:line="276" w:lineRule="auto"/>
        <w:ind w:left="0"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Разом з тим</w:t>
      </w:r>
      <w:r w:rsidR="00D50C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Україні розгляд спорі</w:t>
      </w:r>
      <w:r w:rsidR="00D50C25">
        <w:rPr>
          <w:bCs/>
          <w:sz w:val="28"/>
          <w:szCs w:val="28"/>
        </w:rPr>
        <w:t>в в сфері конкуренції штучно від</w:t>
      </w:r>
      <w:r>
        <w:rPr>
          <w:bCs/>
          <w:sz w:val="28"/>
          <w:szCs w:val="28"/>
        </w:rPr>
        <w:t xml:space="preserve">несено </w:t>
      </w:r>
      <w:r w:rsidR="00D50C25">
        <w:rPr>
          <w:bCs/>
          <w:sz w:val="28"/>
          <w:szCs w:val="28"/>
        </w:rPr>
        <w:t>до юрисдикції</w:t>
      </w:r>
      <w:r>
        <w:rPr>
          <w:bCs/>
          <w:sz w:val="28"/>
          <w:szCs w:val="28"/>
        </w:rPr>
        <w:t xml:space="preserve"> різних судів та навіть різних гілок судової влади, а саме: </w:t>
      </w:r>
      <w:r w:rsidR="00DF3B22">
        <w:rPr>
          <w:bCs/>
          <w:sz w:val="28"/>
          <w:szCs w:val="28"/>
        </w:rPr>
        <w:t xml:space="preserve">спори в сфері недобросовісної конкуренції – до юрисдикції Вищого суду з питань інтелектуальної власності, </w:t>
      </w:r>
      <w:r w:rsidR="00D50C25">
        <w:rPr>
          <w:bCs/>
          <w:sz w:val="28"/>
          <w:szCs w:val="28"/>
        </w:rPr>
        <w:t xml:space="preserve">інші </w:t>
      </w:r>
      <w:r w:rsidR="00DF3B22">
        <w:rPr>
          <w:bCs/>
          <w:sz w:val="28"/>
          <w:szCs w:val="28"/>
        </w:rPr>
        <w:t xml:space="preserve">спори в сфері економічної конкуренції – до юрисдикції господарських судів, </w:t>
      </w:r>
      <w:r w:rsidR="00D50C25">
        <w:rPr>
          <w:bCs/>
          <w:sz w:val="28"/>
          <w:szCs w:val="28"/>
        </w:rPr>
        <w:t xml:space="preserve">а </w:t>
      </w:r>
      <w:r w:rsidR="00DF3B22">
        <w:rPr>
          <w:bCs/>
          <w:sz w:val="28"/>
          <w:szCs w:val="28"/>
        </w:rPr>
        <w:t xml:space="preserve">спори </w:t>
      </w:r>
      <w:r>
        <w:rPr>
          <w:bCs/>
          <w:sz w:val="28"/>
          <w:szCs w:val="28"/>
        </w:rPr>
        <w:t xml:space="preserve">в сфері державної допомоги – до юрисдикції </w:t>
      </w:r>
      <w:r w:rsidR="00DF3B22">
        <w:rPr>
          <w:bCs/>
          <w:sz w:val="28"/>
          <w:szCs w:val="28"/>
        </w:rPr>
        <w:t>адміністративного суду.</w:t>
      </w:r>
    </w:p>
    <w:p w:rsidR="00DF3B22" w:rsidRDefault="00DF3B22" w:rsidP="0024678F">
      <w:pPr>
        <w:pStyle w:val="a3"/>
        <w:spacing w:before="120" w:after="120" w:line="276" w:lineRule="auto"/>
        <w:ind w:left="0"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Це </w:t>
      </w:r>
      <w:r w:rsidR="00D50C25">
        <w:rPr>
          <w:bCs/>
          <w:sz w:val="28"/>
          <w:szCs w:val="28"/>
        </w:rPr>
        <w:t xml:space="preserve">призводить або </w:t>
      </w:r>
      <w:r>
        <w:rPr>
          <w:bCs/>
          <w:sz w:val="28"/>
          <w:szCs w:val="28"/>
        </w:rPr>
        <w:t xml:space="preserve">може призвести до неоднакової судової практики, порушення прав суб’єктів господарювання – учасників </w:t>
      </w:r>
      <w:proofErr w:type="spellStart"/>
      <w:r>
        <w:rPr>
          <w:bCs/>
          <w:sz w:val="28"/>
          <w:szCs w:val="28"/>
        </w:rPr>
        <w:t>конкуренційного</w:t>
      </w:r>
      <w:proofErr w:type="spellEnd"/>
      <w:r>
        <w:rPr>
          <w:bCs/>
          <w:sz w:val="28"/>
          <w:szCs w:val="28"/>
        </w:rPr>
        <w:t xml:space="preserve"> процесу, порушення принципу правової визначеності. </w:t>
      </w:r>
    </w:p>
    <w:p w:rsidR="00DF3B22" w:rsidRDefault="00DF3B22" w:rsidP="0024678F">
      <w:pPr>
        <w:pStyle w:val="a3"/>
        <w:spacing w:before="120" w:after="120" w:line="276" w:lineRule="auto"/>
        <w:ind w:left="0"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Організація Економічного Співробітництва та Розвитку (ОЕСР) неодноразово в своїх рекомендаціях </w:t>
      </w:r>
      <w:r w:rsidR="00D50C25">
        <w:rPr>
          <w:bCs/>
          <w:sz w:val="28"/>
          <w:szCs w:val="28"/>
        </w:rPr>
        <w:t xml:space="preserve">(2008 р. та 2016 р.) </w:t>
      </w:r>
      <w:r>
        <w:rPr>
          <w:bCs/>
          <w:sz w:val="28"/>
          <w:szCs w:val="28"/>
        </w:rPr>
        <w:t>звертала увагу України на необхідність забезпеченн</w:t>
      </w:r>
      <w:r w:rsidR="00D50C25">
        <w:rPr>
          <w:bCs/>
          <w:sz w:val="28"/>
          <w:szCs w:val="28"/>
        </w:rPr>
        <w:t>я належної спеціалізації</w:t>
      </w:r>
      <w:r w:rsidR="008F4D4D">
        <w:rPr>
          <w:bCs/>
          <w:sz w:val="28"/>
          <w:szCs w:val="28"/>
        </w:rPr>
        <w:t xml:space="preserve"> суді</w:t>
      </w:r>
      <w:r w:rsidR="00D50C25">
        <w:rPr>
          <w:bCs/>
          <w:sz w:val="28"/>
          <w:szCs w:val="28"/>
        </w:rPr>
        <w:t xml:space="preserve">в у вирішенні </w:t>
      </w:r>
      <w:proofErr w:type="spellStart"/>
      <w:r w:rsidR="00D50C25">
        <w:rPr>
          <w:bCs/>
          <w:sz w:val="28"/>
          <w:szCs w:val="28"/>
        </w:rPr>
        <w:t>конкуренційних</w:t>
      </w:r>
      <w:proofErr w:type="spellEnd"/>
      <w:r w:rsidR="00D50C25">
        <w:rPr>
          <w:bCs/>
          <w:sz w:val="28"/>
          <w:szCs w:val="28"/>
        </w:rPr>
        <w:t xml:space="preserve"> спорів</w:t>
      </w:r>
      <w:r w:rsidR="00C90B3E">
        <w:rPr>
          <w:bCs/>
          <w:sz w:val="28"/>
          <w:szCs w:val="28"/>
        </w:rPr>
        <w:t xml:space="preserve">. </w:t>
      </w:r>
    </w:p>
    <w:p w:rsidR="00C90B3E" w:rsidRDefault="00C90B3E" w:rsidP="0024678F">
      <w:pPr>
        <w:pStyle w:val="a3"/>
        <w:spacing w:before="120" w:after="120" w:line="276" w:lineRule="auto"/>
        <w:ind w:left="0" w:firstLine="540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Конкуренційно</w:t>
      </w:r>
      <w:proofErr w:type="spellEnd"/>
      <w:r>
        <w:rPr>
          <w:bCs/>
          <w:sz w:val="28"/>
          <w:szCs w:val="28"/>
        </w:rPr>
        <w:t>-антимонопольна реформа, яка має на меті підвищення ефективності системи розвитку та захисту економічної конкуренції, як рушійної сил</w:t>
      </w:r>
      <w:r w:rsidR="00D50C25">
        <w:rPr>
          <w:bCs/>
          <w:sz w:val="28"/>
          <w:szCs w:val="28"/>
        </w:rPr>
        <w:t>и розвитку економіки України, а також судова реформа, які провадя</w:t>
      </w:r>
      <w:r>
        <w:rPr>
          <w:bCs/>
          <w:sz w:val="28"/>
          <w:szCs w:val="28"/>
        </w:rPr>
        <w:t xml:space="preserve">ться в Україні, передбачають утворення спеціалізованого суду в сфері конкуренції. </w:t>
      </w:r>
    </w:p>
    <w:p w:rsidR="00C90B3E" w:rsidRPr="00DF3B22" w:rsidRDefault="00C90B3E" w:rsidP="0024678F">
      <w:pPr>
        <w:pStyle w:val="a3"/>
        <w:spacing w:before="120" w:after="120" w:line="276" w:lineRule="auto"/>
        <w:ind w:left="0"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Законопроектом </w:t>
      </w:r>
      <w:r w:rsidR="00D50C25">
        <w:rPr>
          <w:bCs/>
          <w:sz w:val="28"/>
          <w:szCs w:val="28"/>
        </w:rPr>
        <w:t>пропонується вирішення цього питання</w:t>
      </w:r>
      <w:r>
        <w:rPr>
          <w:bCs/>
          <w:sz w:val="28"/>
          <w:szCs w:val="28"/>
        </w:rPr>
        <w:t xml:space="preserve"> шляхом утворення спеціалізованого суду в сфері конкуренції. </w:t>
      </w:r>
    </w:p>
    <w:p w:rsidR="00F31B78" w:rsidRPr="00F31B78" w:rsidRDefault="00F31B78" w:rsidP="0024678F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48"/>
        </w:tabs>
        <w:spacing w:before="120" w:after="120"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FA20DD">
        <w:rPr>
          <w:b/>
          <w:color w:val="000000"/>
          <w:sz w:val="28"/>
          <w:szCs w:val="28"/>
          <w:shd w:val="clear" w:color="auto" w:fill="FFFFFF"/>
        </w:rPr>
        <w:lastRenderedPageBreak/>
        <w:t>Судова реформа у сфері конкуренції</w:t>
      </w:r>
      <w:r w:rsidRPr="00F31B78">
        <w:rPr>
          <w:b/>
          <w:color w:val="000000"/>
          <w:sz w:val="28"/>
          <w:szCs w:val="28"/>
          <w:shd w:val="clear" w:color="auto" w:fill="FFFFFF"/>
        </w:rPr>
        <w:t xml:space="preserve">. Утворення спеціалізованого суду </w:t>
      </w:r>
    </w:p>
    <w:p w:rsidR="00C42C7E" w:rsidRDefault="00F31B78" w:rsidP="00FE72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48"/>
        </w:tabs>
        <w:spacing w:before="120" w:after="120" w:line="276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F31B78">
        <w:rPr>
          <w:color w:val="000000"/>
          <w:sz w:val="28"/>
          <w:szCs w:val="28"/>
          <w:shd w:val="clear" w:color="auto" w:fill="FFFFFF"/>
        </w:rPr>
        <w:t>З урахуванням світового досвіду вирішення судових спорів у сфері конкуренції пропонується створення в Україні спеціалізованого суду у сфер</w:t>
      </w:r>
      <w:r w:rsidR="00D50C25">
        <w:rPr>
          <w:color w:val="000000"/>
          <w:sz w:val="28"/>
          <w:szCs w:val="28"/>
          <w:shd w:val="clear" w:color="auto" w:fill="FFFFFF"/>
        </w:rPr>
        <w:t>і конкуренції, а саме віднесення</w:t>
      </w:r>
      <w:r w:rsidRPr="00F31B78">
        <w:rPr>
          <w:color w:val="000000"/>
          <w:sz w:val="28"/>
          <w:szCs w:val="28"/>
          <w:shd w:val="clear" w:color="auto" w:fill="FFFFFF"/>
        </w:rPr>
        <w:t xml:space="preserve"> повноважень з вирішення спорів у сфері конкуренції </w:t>
      </w:r>
      <w:r w:rsidR="00D50C25">
        <w:rPr>
          <w:color w:val="000000"/>
          <w:sz w:val="28"/>
          <w:szCs w:val="28"/>
          <w:shd w:val="clear" w:color="auto" w:fill="FFFFFF"/>
        </w:rPr>
        <w:t>до юрисдикції Вищого</w:t>
      </w:r>
      <w:r w:rsidRPr="00F31B78">
        <w:rPr>
          <w:color w:val="000000"/>
          <w:sz w:val="28"/>
          <w:szCs w:val="28"/>
          <w:shd w:val="clear" w:color="auto" w:fill="FFFFFF"/>
        </w:rPr>
        <w:t xml:space="preserve"> суд</w:t>
      </w:r>
      <w:r w:rsidR="00D50C25">
        <w:rPr>
          <w:color w:val="000000"/>
          <w:sz w:val="28"/>
          <w:szCs w:val="28"/>
          <w:shd w:val="clear" w:color="auto" w:fill="FFFFFF"/>
        </w:rPr>
        <w:t>у</w:t>
      </w:r>
      <w:r w:rsidRPr="00F31B78">
        <w:rPr>
          <w:color w:val="000000"/>
          <w:sz w:val="28"/>
          <w:szCs w:val="28"/>
          <w:shd w:val="clear" w:color="auto" w:fill="FFFFFF"/>
        </w:rPr>
        <w:t xml:space="preserve"> з питань інтелектуальної власності, який пропонується назвати Вищим судом з питань інтелектуальної власності та економічної конкуренції. </w:t>
      </w:r>
      <w:r w:rsidRPr="00D50C25">
        <w:rPr>
          <w:color w:val="000000"/>
          <w:sz w:val="28"/>
          <w:szCs w:val="28"/>
          <w:shd w:val="clear" w:color="auto" w:fill="FFFFFF"/>
        </w:rPr>
        <w:t xml:space="preserve">До </w:t>
      </w:r>
      <w:r w:rsidR="00D50C25" w:rsidRPr="00D50C25">
        <w:rPr>
          <w:color w:val="000000"/>
          <w:sz w:val="28"/>
          <w:szCs w:val="28"/>
          <w:shd w:val="clear" w:color="auto" w:fill="FFFFFF"/>
        </w:rPr>
        <w:t xml:space="preserve">юрисдикції </w:t>
      </w:r>
      <w:r w:rsidRPr="00D50C25">
        <w:rPr>
          <w:color w:val="000000"/>
          <w:sz w:val="28"/>
          <w:szCs w:val="28"/>
          <w:shd w:val="clear" w:color="auto" w:fill="FFFFFF"/>
        </w:rPr>
        <w:t xml:space="preserve">цього суду пропонується віднести вирішення усіх спорів у сфері конкуренції, окрім оскарження рішень Антимонопольного комітету України у сфері розгляду скарг про порушення законодавства про публічні закупівлі. </w:t>
      </w:r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До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повноважень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цього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суду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також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належатиме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вирішення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спорів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випливають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з Закону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«Про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державну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допомогу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суб'єктам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господарювання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», про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відшкодування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шкоди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завданої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порушеннями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конкуренційного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законодавства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прийняття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рішень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надання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дозволу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Антимонопольному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комітету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перевірку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суб'єктів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господарювання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випадку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вчинення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ними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дій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містять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ознаки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антиконкурентних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узгоджених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дій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суб'єктів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господарювання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зловживання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монопольним</w:t>
      </w:r>
      <w:proofErr w:type="spell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 становищем </w:t>
      </w:r>
      <w:proofErr w:type="gramStart"/>
      <w:r w:rsidRPr="00F31B78">
        <w:rPr>
          <w:color w:val="000000"/>
          <w:sz w:val="28"/>
          <w:szCs w:val="28"/>
          <w:shd w:val="clear" w:color="auto" w:fill="FFFFFF"/>
          <w:lang w:val="ru-RU"/>
        </w:rPr>
        <w:t>на ринку</w:t>
      </w:r>
      <w:proofErr w:type="gramEnd"/>
      <w:r w:rsidRPr="00F31B78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:rsidR="00D50C25" w:rsidRPr="00D50C25" w:rsidRDefault="00B755FD" w:rsidP="00D50C25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48"/>
        </w:tabs>
        <w:spacing w:before="120" w:after="120" w:line="276" w:lineRule="auto"/>
        <w:rPr>
          <w:b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B755FD">
        <w:rPr>
          <w:b/>
          <w:color w:val="000000"/>
          <w:sz w:val="28"/>
          <w:szCs w:val="28"/>
          <w:shd w:val="clear" w:color="auto" w:fill="FFFFFF"/>
          <w:lang w:val="ru-RU"/>
        </w:rPr>
        <w:t>Прогнози</w:t>
      </w:r>
      <w:proofErr w:type="spellEnd"/>
      <w:r w:rsidRPr="00B755F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755FD">
        <w:rPr>
          <w:b/>
          <w:color w:val="000000"/>
          <w:sz w:val="28"/>
          <w:szCs w:val="28"/>
          <w:shd w:val="clear" w:color="auto" w:fill="FFFFFF"/>
          <w:lang w:val="ru-RU"/>
        </w:rPr>
        <w:t>результатів</w:t>
      </w:r>
      <w:proofErr w:type="spellEnd"/>
    </w:p>
    <w:p w:rsidR="00D50C25" w:rsidRDefault="00B755FD" w:rsidP="0024678F">
      <w:pPr>
        <w:widowControl w:val="0"/>
        <w:spacing w:before="120" w:after="120" w:line="276" w:lineRule="auto"/>
        <w:rPr>
          <w:sz w:val="28"/>
          <w:szCs w:val="28"/>
        </w:rPr>
      </w:pPr>
      <w:r w:rsidRPr="00B755FD">
        <w:rPr>
          <w:sz w:val="28"/>
          <w:szCs w:val="28"/>
        </w:rPr>
        <w:t>Прийняття законопроекту дозволить</w:t>
      </w:r>
      <w:r w:rsidR="00D50C25">
        <w:rPr>
          <w:sz w:val="28"/>
          <w:szCs w:val="28"/>
        </w:rPr>
        <w:t xml:space="preserve"> забезпечити:</w:t>
      </w:r>
    </w:p>
    <w:p w:rsidR="00D50C25" w:rsidRPr="00D50C25" w:rsidRDefault="00D20D17" w:rsidP="00D50C25">
      <w:pPr>
        <w:pStyle w:val="a3"/>
        <w:widowControl w:val="0"/>
        <w:numPr>
          <w:ilvl w:val="0"/>
          <w:numId w:val="2"/>
        </w:numPr>
        <w:spacing w:before="120"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н</w:t>
      </w:r>
      <w:r w:rsidR="00D50C25">
        <w:rPr>
          <w:sz w:val="28"/>
          <w:szCs w:val="28"/>
        </w:rPr>
        <w:t>алежне функціонування системи захисту економічної конкуренції в Україні;</w:t>
      </w:r>
    </w:p>
    <w:p w:rsidR="00B755FD" w:rsidRDefault="00D50C25" w:rsidP="00D50C25">
      <w:pPr>
        <w:pStyle w:val="a3"/>
        <w:widowControl w:val="0"/>
        <w:numPr>
          <w:ilvl w:val="0"/>
          <w:numId w:val="2"/>
        </w:numPr>
        <w:spacing w:before="120"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захист прав та охоронюваних законом інтересів</w:t>
      </w:r>
      <w:r w:rsidR="00B755FD" w:rsidRPr="00D50C25">
        <w:rPr>
          <w:sz w:val="28"/>
          <w:szCs w:val="28"/>
        </w:rPr>
        <w:t xml:space="preserve"> бізнесу та масового споживача</w:t>
      </w:r>
      <w:r>
        <w:rPr>
          <w:sz w:val="28"/>
          <w:szCs w:val="28"/>
        </w:rPr>
        <w:t>; напрацювання</w:t>
      </w:r>
      <w:r w:rsidR="00B755FD" w:rsidRPr="00D50C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транспарентної</w:t>
      </w:r>
      <w:proofErr w:type="spellEnd"/>
      <w:r>
        <w:rPr>
          <w:sz w:val="28"/>
          <w:szCs w:val="28"/>
        </w:rPr>
        <w:t xml:space="preserve"> </w:t>
      </w:r>
      <w:r w:rsidR="00B755FD" w:rsidRPr="00D50C25">
        <w:rPr>
          <w:sz w:val="28"/>
          <w:szCs w:val="28"/>
        </w:rPr>
        <w:t xml:space="preserve">судової практики вирішення </w:t>
      </w:r>
      <w:proofErr w:type="spellStart"/>
      <w:r w:rsidR="00B755FD" w:rsidRPr="00D50C25">
        <w:rPr>
          <w:sz w:val="28"/>
          <w:szCs w:val="28"/>
        </w:rPr>
        <w:t>конкуренційних</w:t>
      </w:r>
      <w:proofErr w:type="spellEnd"/>
      <w:r w:rsidR="00B755FD" w:rsidRPr="00D50C25">
        <w:rPr>
          <w:sz w:val="28"/>
          <w:szCs w:val="28"/>
        </w:rPr>
        <w:t xml:space="preserve"> спорів, зокрема щ</w:t>
      </w:r>
      <w:bookmarkStart w:id="0" w:name="_GoBack"/>
      <w:bookmarkEnd w:id="0"/>
      <w:r w:rsidR="00B755FD" w:rsidRPr="00D50C25">
        <w:rPr>
          <w:sz w:val="28"/>
          <w:szCs w:val="28"/>
        </w:rPr>
        <w:t>одо відшкодування збитків, завданих порушенням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конкуренційного</w:t>
      </w:r>
      <w:proofErr w:type="spellEnd"/>
      <w:r>
        <w:rPr>
          <w:sz w:val="28"/>
          <w:szCs w:val="28"/>
        </w:rPr>
        <w:t xml:space="preserve"> законодавства;</w:t>
      </w:r>
    </w:p>
    <w:p w:rsidR="00FE725C" w:rsidRPr="00FE725C" w:rsidRDefault="00D20D17" w:rsidP="00FE725C">
      <w:pPr>
        <w:pStyle w:val="a3"/>
        <w:widowControl w:val="0"/>
        <w:numPr>
          <w:ilvl w:val="0"/>
          <w:numId w:val="2"/>
        </w:numPr>
        <w:spacing w:before="120"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підвищення рівня</w:t>
      </w:r>
      <w:r w:rsidR="00D50C25">
        <w:rPr>
          <w:sz w:val="28"/>
          <w:szCs w:val="28"/>
        </w:rPr>
        <w:t xml:space="preserve"> дотримання принципу правової визначеності та виконання відповідних рекомендацій по ОЕСР. </w:t>
      </w:r>
    </w:p>
    <w:p w:rsidR="00FE725C" w:rsidRPr="00FE725C" w:rsidRDefault="00FE725C" w:rsidP="00FE725C">
      <w:pPr>
        <w:widowControl w:val="0"/>
        <w:spacing w:before="120" w:after="120"/>
        <w:ind w:firstLine="709"/>
        <w:rPr>
          <w:b/>
          <w:bCs/>
          <w:sz w:val="28"/>
          <w:szCs w:val="28"/>
          <w:u w:val="single"/>
        </w:rPr>
      </w:pPr>
      <w:r w:rsidRPr="00FE725C">
        <w:rPr>
          <w:b/>
          <w:bCs/>
          <w:sz w:val="28"/>
          <w:szCs w:val="28"/>
        </w:rPr>
        <w:t>4. Фінансово-економічне обґрунтування</w:t>
      </w:r>
    </w:p>
    <w:p w:rsidR="00D50C25" w:rsidRDefault="00FE725C" w:rsidP="00FE725C">
      <w:pPr>
        <w:widowControl w:val="0"/>
        <w:spacing w:before="120" w:after="120"/>
        <w:ind w:firstLine="709"/>
        <w:rPr>
          <w:sz w:val="28"/>
          <w:szCs w:val="28"/>
        </w:rPr>
      </w:pPr>
      <w:r w:rsidRPr="00FE725C">
        <w:rPr>
          <w:sz w:val="28"/>
          <w:szCs w:val="28"/>
        </w:rPr>
        <w:t>Реалізація законопроекту не потребуватиме додаткових витрат з державного бюджету.</w:t>
      </w:r>
    </w:p>
    <w:p w:rsidR="00FE725C" w:rsidRDefault="00FE725C" w:rsidP="00FE725C">
      <w:pPr>
        <w:widowControl w:val="0"/>
        <w:spacing w:before="120" w:after="120"/>
        <w:ind w:firstLine="709"/>
        <w:rPr>
          <w:sz w:val="28"/>
          <w:szCs w:val="28"/>
        </w:rPr>
      </w:pPr>
    </w:p>
    <w:p w:rsidR="00FE725C" w:rsidRPr="00B755FD" w:rsidRDefault="00FE725C" w:rsidP="00FE725C">
      <w:pPr>
        <w:widowControl w:val="0"/>
        <w:spacing w:before="120" w:after="120"/>
        <w:ind w:firstLine="709"/>
        <w:rPr>
          <w:sz w:val="28"/>
          <w:szCs w:val="28"/>
        </w:rPr>
      </w:pPr>
    </w:p>
    <w:p w:rsidR="00FE725C" w:rsidRDefault="00B755FD" w:rsidP="00B755FD">
      <w:pPr>
        <w:widowControl w:val="0"/>
        <w:ind w:firstLine="0"/>
        <w:rPr>
          <w:b/>
          <w:bCs/>
          <w:sz w:val="28"/>
          <w:szCs w:val="28"/>
        </w:rPr>
      </w:pPr>
      <w:r w:rsidRPr="007E7F72">
        <w:rPr>
          <w:b/>
          <w:bCs/>
          <w:sz w:val="28"/>
          <w:szCs w:val="28"/>
        </w:rPr>
        <w:t>Народний депутат України</w:t>
      </w:r>
      <w:r w:rsidRPr="007E7F72">
        <w:rPr>
          <w:b/>
          <w:bCs/>
          <w:sz w:val="28"/>
          <w:szCs w:val="28"/>
        </w:rPr>
        <w:tab/>
        <w:t xml:space="preserve">                   </w:t>
      </w:r>
      <w:r w:rsidR="00C42C7E">
        <w:rPr>
          <w:b/>
          <w:bCs/>
          <w:sz w:val="28"/>
          <w:szCs w:val="28"/>
        </w:rPr>
        <w:t xml:space="preserve">                       </w:t>
      </w:r>
      <w:r w:rsidR="00C42C7E">
        <w:rPr>
          <w:b/>
          <w:bCs/>
          <w:sz w:val="28"/>
          <w:szCs w:val="28"/>
          <w:lang w:val="en-US"/>
        </w:rPr>
        <w:t xml:space="preserve"> </w:t>
      </w:r>
      <w:r w:rsidRPr="007E7F72">
        <w:rPr>
          <w:b/>
          <w:bCs/>
          <w:sz w:val="28"/>
          <w:szCs w:val="28"/>
        </w:rPr>
        <w:t xml:space="preserve"> </w:t>
      </w:r>
      <w:r w:rsidR="0024678F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</w:rPr>
        <w:t>Буймістер Л.А.</w:t>
      </w:r>
      <w:r w:rsidR="00C42C7E">
        <w:rPr>
          <w:b/>
          <w:bCs/>
          <w:sz w:val="28"/>
          <w:lang w:val="en-US"/>
        </w:rPr>
        <w:t>(424)</w:t>
      </w:r>
      <w:r w:rsidRPr="007E7F72">
        <w:rPr>
          <w:b/>
          <w:bCs/>
          <w:sz w:val="28"/>
          <w:szCs w:val="28"/>
        </w:rPr>
        <w:t xml:space="preserve">    </w:t>
      </w:r>
    </w:p>
    <w:p w:rsidR="00FE725C" w:rsidRDefault="00FE725C" w:rsidP="00B755FD">
      <w:pPr>
        <w:widowControl w:val="0"/>
        <w:ind w:firstLine="0"/>
        <w:rPr>
          <w:b/>
          <w:bCs/>
          <w:sz w:val="28"/>
          <w:szCs w:val="28"/>
        </w:rPr>
      </w:pPr>
    </w:p>
    <w:p w:rsidR="00FE725C" w:rsidRDefault="00FE725C" w:rsidP="00B755FD">
      <w:pPr>
        <w:widowControl w:val="0"/>
        <w:ind w:firstLine="0"/>
        <w:rPr>
          <w:b/>
          <w:bCs/>
          <w:sz w:val="28"/>
          <w:szCs w:val="28"/>
        </w:rPr>
      </w:pPr>
    </w:p>
    <w:p w:rsidR="001E7C2C" w:rsidRPr="00FE725C" w:rsidRDefault="00FE725C" w:rsidP="00FE725C">
      <w:pPr>
        <w:widowControl w:val="0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</w:p>
    <w:sectPr w:rsidR="001E7C2C" w:rsidRPr="00FE725C" w:rsidSect="00FE725C">
      <w:headerReference w:type="default" r:id="rId7"/>
      <w:footerReference w:type="default" r:id="rId8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C54" w:rsidRDefault="003F4C54" w:rsidP="00D50C25">
      <w:r>
        <w:separator/>
      </w:r>
    </w:p>
  </w:endnote>
  <w:endnote w:type="continuationSeparator" w:id="0">
    <w:p w:rsidR="003F4C54" w:rsidRDefault="003F4C54" w:rsidP="00D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C25" w:rsidRDefault="00D50C25" w:rsidP="00D20D17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C54" w:rsidRDefault="003F4C54" w:rsidP="00D50C25">
      <w:r>
        <w:separator/>
      </w:r>
    </w:p>
  </w:footnote>
  <w:footnote w:type="continuationSeparator" w:id="0">
    <w:p w:rsidR="003F4C54" w:rsidRDefault="003F4C54" w:rsidP="00D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C25" w:rsidRDefault="00D50C25" w:rsidP="00FE725C">
    <w:pPr>
      <w:pStyle w:val="a4"/>
      <w:ind w:firstLine="0"/>
    </w:pPr>
  </w:p>
  <w:p w:rsidR="00D50C25" w:rsidRDefault="00D50C2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76E9B"/>
    <w:multiLevelType w:val="hybridMultilevel"/>
    <w:tmpl w:val="0EE81FF4"/>
    <w:lvl w:ilvl="0" w:tplc="8DDC9582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613453E3"/>
    <w:multiLevelType w:val="hybridMultilevel"/>
    <w:tmpl w:val="FEC69086"/>
    <w:lvl w:ilvl="0" w:tplc="D660A09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79A"/>
    <w:rsid w:val="00115029"/>
    <w:rsid w:val="00115472"/>
    <w:rsid w:val="001A779A"/>
    <w:rsid w:val="002373ED"/>
    <w:rsid w:val="0024678F"/>
    <w:rsid w:val="00313780"/>
    <w:rsid w:val="003F4C54"/>
    <w:rsid w:val="004970ED"/>
    <w:rsid w:val="00654BBC"/>
    <w:rsid w:val="008F4D4D"/>
    <w:rsid w:val="00A40D5F"/>
    <w:rsid w:val="00B755FD"/>
    <w:rsid w:val="00C267C1"/>
    <w:rsid w:val="00C42C7E"/>
    <w:rsid w:val="00C90B3E"/>
    <w:rsid w:val="00CE61E2"/>
    <w:rsid w:val="00D20D17"/>
    <w:rsid w:val="00D50C25"/>
    <w:rsid w:val="00D902B7"/>
    <w:rsid w:val="00DF3B22"/>
    <w:rsid w:val="00F31B78"/>
    <w:rsid w:val="00FA20DD"/>
    <w:rsid w:val="00FE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ED1D53-EB59-452B-A291-2F9D0427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0E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F31B78"/>
    <w:pPr>
      <w:overflowPunct w:val="0"/>
      <w:autoSpaceDE w:val="0"/>
      <w:autoSpaceDN w:val="0"/>
      <w:adjustRightInd w:val="0"/>
      <w:ind w:firstLine="709"/>
      <w:jc w:val="left"/>
    </w:pPr>
    <w:rPr>
      <w:lang w:val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F31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31B7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50C25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50C2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footer"/>
    <w:basedOn w:val="a"/>
    <w:link w:val="a7"/>
    <w:uiPriority w:val="99"/>
    <w:unhideWhenUsed/>
    <w:rsid w:val="00D50C25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50C2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C42C7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42C7E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2418</Words>
  <Characters>1379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Raiska</dc:creator>
  <cp:keywords/>
  <dc:description/>
  <cp:lastModifiedBy>Буймістер Людмила Анатоліївна</cp:lastModifiedBy>
  <cp:revision>4</cp:revision>
  <cp:lastPrinted>2020-01-15T11:59:00Z</cp:lastPrinted>
  <dcterms:created xsi:type="dcterms:W3CDTF">2020-01-15T07:51:00Z</dcterms:created>
  <dcterms:modified xsi:type="dcterms:W3CDTF">2020-01-15T12:04:00Z</dcterms:modified>
</cp:coreProperties>
</file>