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2D8B" w:rsidRDefault="00C52D8B" w:rsidP="00C52D8B">
      <w:pPr>
        <w:spacing w:after="0" w:line="240" w:lineRule="auto"/>
        <w:ind w:firstLine="4962"/>
        <w:jc w:val="both"/>
        <w:rPr>
          <w:rFonts w:ascii="Times New Roman" w:eastAsia="Times New Roman" w:hAnsi="Times New Roman"/>
          <w:b/>
          <w:bCs/>
          <w:iCs/>
          <w:sz w:val="28"/>
          <w:szCs w:val="28"/>
          <w:lang w:val="uk-UA" w:eastAsia="ru-RU"/>
        </w:rPr>
      </w:pPr>
    </w:p>
    <w:p w:rsidR="00C52D8B" w:rsidRPr="00C52D8B" w:rsidRDefault="00C52D8B" w:rsidP="00C52D8B">
      <w:pPr>
        <w:spacing w:after="0" w:line="240" w:lineRule="auto"/>
        <w:ind w:firstLine="4962"/>
        <w:jc w:val="both"/>
        <w:rPr>
          <w:rFonts w:ascii="Times New Roman" w:eastAsia="Times New Roman" w:hAnsi="Times New Roman"/>
          <w:b/>
          <w:bCs/>
          <w:iCs/>
          <w:sz w:val="28"/>
          <w:szCs w:val="28"/>
          <w:lang w:val="uk-UA" w:eastAsia="ru-RU"/>
        </w:rPr>
      </w:pPr>
      <w:r w:rsidRPr="00C52D8B">
        <w:rPr>
          <w:rFonts w:ascii="Times New Roman" w:eastAsia="Times New Roman" w:hAnsi="Times New Roman"/>
          <w:b/>
          <w:bCs/>
          <w:iCs/>
          <w:sz w:val="28"/>
          <w:szCs w:val="28"/>
          <w:lang w:val="uk-UA" w:eastAsia="ru-RU"/>
        </w:rPr>
        <w:t xml:space="preserve">Комітет Верховної Ради України </w:t>
      </w:r>
    </w:p>
    <w:p w:rsidR="00C52D8B" w:rsidRPr="00C52D8B" w:rsidRDefault="00C52D8B" w:rsidP="00C52D8B">
      <w:pPr>
        <w:spacing w:after="0" w:line="240" w:lineRule="auto"/>
        <w:ind w:firstLine="4962"/>
        <w:jc w:val="both"/>
        <w:rPr>
          <w:rFonts w:ascii="Times New Roman" w:eastAsia="Times New Roman" w:hAnsi="Times New Roman"/>
          <w:b/>
          <w:sz w:val="28"/>
          <w:szCs w:val="28"/>
          <w:lang w:val="uk-UA" w:eastAsia="ru-RU"/>
        </w:rPr>
      </w:pPr>
      <w:r w:rsidRPr="00C52D8B">
        <w:rPr>
          <w:rFonts w:ascii="Times New Roman" w:eastAsia="Times New Roman" w:hAnsi="Times New Roman"/>
          <w:b/>
          <w:sz w:val="28"/>
          <w:szCs w:val="28"/>
          <w:lang w:val="uk-UA" w:eastAsia="ru-RU"/>
        </w:rPr>
        <w:t>з питань організації державної</w:t>
      </w:r>
    </w:p>
    <w:p w:rsidR="00C52D8B" w:rsidRPr="00C52D8B" w:rsidRDefault="00C52D8B" w:rsidP="00C52D8B">
      <w:pPr>
        <w:spacing w:after="0" w:line="240" w:lineRule="auto"/>
        <w:ind w:firstLine="4962"/>
        <w:jc w:val="both"/>
        <w:rPr>
          <w:rFonts w:ascii="Times New Roman" w:eastAsia="Times New Roman" w:hAnsi="Times New Roman"/>
          <w:b/>
          <w:sz w:val="28"/>
          <w:szCs w:val="28"/>
          <w:lang w:val="uk-UA" w:eastAsia="ru-RU"/>
        </w:rPr>
      </w:pPr>
      <w:r w:rsidRPr="00C52D8B">
        <w:rPr>
          <w:rFonts w:ascii="Times New Roman" w:eastAsia="Times New Roman" w:hAnsi="Times New Roman"/>
          <w:b/>
          <w:sz w:val="28"/>
          <w:szCs w:val="28"/>
          <w:lang w:val="uk-UA" w:eastAsia="ru-RU"/>
        </w:rPr>
        <w:t>влади, місцевого самоврядування,</w:t>
      </w:r>
    </w:p>
    <w:p w:rsidR="00C52D8B" w:rsidRPr="00C52D8B" w:rsidRDefault="00C52D8B" w:rsidP="00C52D8B">
      <w:pPr>
        <w:spacing w:after="0" w:line="240" w:lineRule="auto"/>
        <w:ind w:firstLine="4962"/>
        <w:jc w:val="both"/>
        <w:rPr>
          <w:rFonts w:ascii="Times New Roman" w:eastAsia="Times New Roman" w:hAnsi="Times New Roman"/>
          <w:b/>
          <w:sz w:val="28"/>
          <w:szCs w:val="28"/>
          <w:lang w:val="uk-UA" w:eastAsia="ru-RU"/>
        </w:rPr>
      </w:pPr>
      <w:r w:rsidRPr="00C52D8B">
        <w:rPr>
          <w:rFonts w:ascii="Times New Roman" w:eastAsia="Times New Roman" w:hAnsi="Times New Roman"/>
          <w:b/>
          <w:sz w:val="28"/>
          <w:szCs w:val="28"/>
          <w:lang w:val="uk-UA" w:eastAsia="ru-RU"/>
        </w:rPr>
        <w:t>регіонального розвитку та</w:t>
      </w:r>
    </w:p>
    <w:p w:rsidR="00C52D8B" w:rsidRPr="00C52D8B" w:rsidRDefault="00C52D8B" w:rsidP="00C52D8B">
      <w:pPr>
        <w:spacing w:after="0" w:line="240" w:lineRule="auto"/>
        <w:ind w:firstLine="4962"/>
        <w:jc w:val="both"/>
        <w:rPr>
          <w:rFonts w:ascii="Times New Roman" w:eastAsia="Times New Roman" w:hAnsi="Times New Roman"/>
          <w:b/>
          <w:bCs/>
          <w:iCs/>
          <w:sz w:val="27"/>
          <w:szCs w:val="27"/>
          <w:lang w:val="uk-UA" w:eastAsia="ru-RU"/>
        </w:rPr>
      </w:pPr>
      <w:r w:rsidRPr="00C52D8B">
        <w:rPr>
          <w:rFonts w:ascii="Times New Roman" w:eastAsia="Times New Roman" w:hAnsi="Times New Roman"/>
          <w:b/>
          <w:sz w:val="28"/>
          <w:szCs w:val="28"/>
          <w:lang w:val="uk-UA" w:eastAsia="ru-RU"/>
        </w:rPr>
        <w:t>містобудування</w:t>
      </w:r>
    </w:p>
    <w:p w:rsidR="00C52D8B" w:rsidRPr="00C52D8B" w:rsidRDefault="00C52D8B" w:rsidP="00C52D8B">
      <w:pPr>
        <w:spacing w:after="0" w:line="240" w:lineRule="auto"/>
        <w:ind w:firstLine="4962"/>
        <w:jc w:val="both"/>
        <w:rPr>
          <w:rFonts w:ascii="Times New Roman" w:eastAsia="Times New Roman" w:hAnsi="Times New Roman"/>
          <w:b/>
          <w:bCs/>
          <w:iCs/>
          <w:sz w:val="27"/>
          <w:szCs w:val="27"/>
          <w:lang w:val="uk-UA" w:eastAsia="ru-RU"/>
        </w:rPr>
      </w:pPr>
    </w:p>
    <w:p w:rsidR="00C52D8B" w:rsidRPr="00C52D8B" w:rsidRDefault="00C52D8B" w:rsidP="00C52D8B">
      <w:pPr>
        <w:spacing w:after="0" w:line="240" w:lineRule="auto"/>
        <w:ind w:firstLine="900"/>
        <w:jc w:val="both"/>
        <w:rPr>
          <w:rFonts w:ascii="Times New Roman" w:eastAsia="Times New Roman" w:hAnsi="Times New Roman"/>
          <w:sz w:val="28"/>
          <w:szCs w:val="28"/>
          <w:lang w:eastAsia="ru-RU"/>
        </w:rPr>
      </w:pPr>
      <w:r w:rsidRPr="00C52D8B">
        <w:rPr>
          <w:rFonts w:ascii="Times New Roman" w:eastAsia="Times New Roman" w:hAnsi="Times New Roman"/>
          <w:color w:val="000000"/>
          <w:sz w:val="27"/>
          <w:szCs w:val="27"/>
          <w:lang w:val="uk-UA" w:eastAsia="ru-RU"/>
        </w:rPr>
        <w:t xml:space="preserve">Комітет Верховної Ради України з питань бюджету на своєму засіданні </w:t>
      </w:r>
      <w:r w:rsidR="00C00B02">
        <w:rPr>
          <w:rFonts w:ascii="Times New Roman" w:eastAsia="Times New Roman" w:hAnsi="Times New Roman"/>
          <w:color w:val="000000"/>
          <w:sz w:val="27"/>
          <w:szCs w:val="27"/>
          <w:lang w:val="uk-UA" w:eastAsia="ru-RU"/>
        </w:rPr>
        <w:t>18 </w:t>
      </w:r>
      <w:r w:rsidRPr="00C52D8B">
        <w:rPr>
          <w:rFonts w:ascii="Times New Roman" w:eastAsia="Times New Roman" w:hAnsi="Times New Roman"/>
          <w:sz w:val="27"/>
          <w:szCs w:val="27"/>
          <w:lang w:val="uk-UA" w:eastAsia="ru-RU"/>
        </w:rPr>
        <w:t xml:space="preserve">березня </w:t>
      </w:r>
      <w:r w:rsidRPr="00C52D8B">
        <w:rPr>
          <w:rFonts w:ascii="Times New Roman" w:eastAsia="Times New Roman" w:hAnsi="Times New Roman"/>
          <w:color w:val="000000"/>
          <w:sz w:val="27"/>
          <w:szCs w:val="27"/>
          <w:lang w:val="uk-UA" w:eastAsia="ru-RU"/>
        </w:rPr>
        <w:t>2020 року (протокол № </w:t>
      </w:r>
      <w:r w:rsidR="00C00B02">
        <w:rPr>
          <w:rFonts w:ascii="Times New Roman" w:eastAsia="Times New Roman" w:hAnsi="Times New Roman"/>
          <w:color w:val="000000"/>
          <w:sz w:val="27"/>
          <w:szCs w:val="27"/>
          <w:lang w:val="uk-UA" w:eastAsia="ru-RU"/>
        </w:rPr>
        <w:t>30</w:t>
      </w:r>
      <w:bookmarkStart w:id="0" w:name="_GoBack"/>
      <w:bookmarkEnd w:id="0"/>
      <w:r w:rsidRPr="00C52D8B">
        <w:rPr>
          <w:rFonts w:ascii="Times New Roman" w:eastAsia="Times New Roman" w:hAnsi="Times New Roman"/>
          <w:color w:val="000000"/>
          <w:sz w:val="27"/>
          <w:szCs w:val="27"/>
          <w:lang w:val="uk-UA" w:eastAsia="ru-RU"/>
        </w:rPr>
        <w:t xml:space="preserve">) відповідно до статей 27 і 109 Бюджетного кодексу України та статті 93 Регламенту Верховної Ради України розглянув </w:t>
      </w:r>
      <w:r w:rsidRPr="00C52D8B">
        <w:rPr>
          <w:rFonts w:ascii="Times New Roman" w:eastAsia="Times New Roman" w:hAnsi="Times New Roman"/>
          <w:sz w:val="27"/>
          <w:szCs w:val="27"/>
          <w:lang w:val="uk-UA" w:eastAsia="ru-RU"/>
        </w:rPr>
        <w:t xml:space="preserve">проект закону про </w:t>
      </w:r>
      <w:r w:rsidRPr="00C52D8B">
        <w:rPr>
          <w:rFonts w:ascii="Times New Roman" w:eastAsia="Times New Roman" w:hAnsi="Times New Roman"/>
          <w:sz w:val="28"/>
          <w:szCs w:val="28"/>
          <w:lang w:val="uk-UA" w:eastAsia="ru-RU"/>
        </w:rPr>
        <w:t>внесення змін до Закону України «Про статус гірських населених пунктів в Україні»</w:t>
      </w:r>
      <w:r w:rsidRPr="00C52D8B">
        <w:rPr>
          <w:rFonts w:ascii="Times New Roman" w:eastAsia="Times New Roman" w:hAnsi="Times New Roman"/>
          <w:sz w:val="27"/>
          <w:szCs w:val="27"/>
          <w:lang w:val="uk-UA" w:eastAsia="ru-RU"/>
        </w:rPr>
        <w:t xml:space="preserve"> щодо розвитку гірських та високогірних населених пунктів (</w:t>
      </w:r>
      <w:r w:rsidRPr="00C52D8B">
        <w:rPr>
          <w:rFonts w:ascii="Times New Roman" w:eastAsia="Times New Roman" w:hAnsi="Times New Roman"/>
          <w:sz w:val="28"/>
          <w:szCs w:val="28"/>
          <w:lang w:val="uk-UA" w:eastAsia="ru-RU"/>
        </w:rPr>
        <w:t>реєстр. № 2785 від 20.01.2020 р.)</w:t>
      </w:r>
      <w:r w:rsidRPr="00C52D8B">
        <w:rPr>
          <w:rFonts w:ascii="Times New Roman" w:eastAsia="Times New Roman" w:hAnsi="Times New Roman"/>
          <w:sz w:val="27"/>
          <w:szCs w:val="27"/>
          <w:lang w:val="uk-UA" w:eastAsia="ru-RU"/>
        </w:rPr>
        <w:t xml:space="preserve">, поданий </w:t>
      </w:r>
      <w:r w:rsidRPr="00C52D8B">
        <w:rPr>
          <w:rFonts w:ascii="Times New Roman" w:eastAsia="Times New Roman" w:hAnsi="Times New Roman"/>
          <w:sz w:val="28"/>
          <w:szCs w:val="28"/>
          <w:lang w:val="uk-UA" w:eastAsia="ru-RU"/>
        </w:rPr>
        <w:t xml:space="preserve">народним депутатом України Андрійовичем З.М. </w:t>
      </w:r>
    </w:p>
    <w:p w:rsidR="00C52D8B" w:rsidRPr="00C52D8B" w:rsidRDefault="00C52D8B" w:rsidP="00C52D8B">
      <w:pPr>
        <w:spacing w:after="0" w:line="240" w:lineRule="auto"/>
        <w:ind w:firstLine="900"/>
        <w:jc w:val="both"/>
        <w:rPr>
          <w:rFonts w:ascii="Times New Roman" w:eastAsia="Times New Roman" w:hAnsi="Times New Roman"/>
          <w:sz w:val="28"/>
          <w:szCs w:val="28"/>
          <w:lang w:val="uk-UA" w:eastAsia="ru-RU"/>
        </w:rPr>
      </w:pPr>
      <w:r w:rsidRPr="00C52D8B">
        <w:rPr>
          <w:rFonts w:ascii="Times New Roman" w:eastAsia="Times New Roman" w:hAnsi="Times New Roman"/>
          <w:sz w:val="28"/>
          <w:szCs w:val="28"/>
          <w:lang w:val="uk-UA" w:eastAsia="ru-RU"/>
        </w:rPr>
        <w:t>Законопроектом серед іншого пропонується:</w:t>
      </w:r>
    </w:p>
    <w:p w:rsidR="00C52D8B" w:rsidRPr="00C52D8B" w:rsidRDefault="00C52D8B" w:rsidP="00C52D8B">
      <w:pPr>
        <w:spacing w:after="0" w:line="240" w:lineRule="auto"/>
        <w:ind w:firstLine="900"/>
        <w:jc w:val="both"/>
        <w:rPr>
          <w:rFonts w:ascii="Times New Roman" w:eastAsia="Times New Roman" w:hAnsi="Times New Roman"/>
          <w:sz w:val="28"/>
          <w:szCs w:val="28"/>
          <w:lang w:val="uk-UA" w:eastAsia="ru-RU"/>
        </w:rPr>
      </w:pPr>
      <w:r w:rsidRPr="00C52D8B">
        <w:rPr>
          <w:rFonts w:ascii="Times New Roman" w:eastAsia="Times New Roman" w:hAnsi="Times New Roman"/>
          <w:sz w:val="28"/>
          <w:szCs w:val="28"/>
          <w:lang w:val="uk-UA" w:eastAsia="ru-RU"/>
        </w:rPr>
        <w:t>виділити у складі гірських населених пунктів високогірні населені пункти, які розташовані на висоті 600 метрів і вище над рівнем моря, за умови, що 50 % і більше сільськогосподарських угідь у межах населеного пункту розташовані на схилах крутизною 20 градусів і більше;</w:t>
      </w:r>
    </w:p>
    <w:p w:rsidR="00C52D8B" w:rsidRPr="00C52D8B" w:rsidRDefault="00C52D8B" w:rsidP="00C52D8B">
      <w:pPr>
        <w:spacing w:after="0" w:line="240" w:lineRule="auto"/>
        <w:ind w:firstLine="900"/>
        <w:jc w:val="both"/>
        <w:rPr>
          <w:rFonts w:ascii="Times New Roman" w:eastAsia="Times New Roman" w:hAnsi="Times New Roman"/>
          <w:sz w:val="28"/>
          <w:szCs w:val="28"/>
          <w:lang w:val="uk-UA" w:eastAsia="ru-RU"/>
        </w:rPr>
      </w:pPr>
      <w:r w:rsidRPr="00C52D8B">
        <w:rPr>
          <w:rFonts w:ascii="Times New Roman" w:eastAsia="Times New Roman" w:hAnsi="Times New Roman"/>
          <w:sz w:val="28"/>
          <w:szCs w:val="28"/>
          <w:lang w:val="uk-UA" w:eastAsia="ru-RU"/>
        </w:rPr>
        <w:t xml:space="preserve">визначити принципи державної гірської політики та пріоритети державної підтримки розвитку гірських та високогірних населених пунктів, встановивши, зокрема, що: </w:t>
      </w:r>
    </w:p>
    <w:p w:rsidR="00C52D8B" w:rsidRPr="00C52D8B" w:rsidRDefault="00C52D8B" w:rsidP="00C52D8B">
      <w:pPr>
        <w:spacing w:after="0" w:line="240" w:lineRule="auto"/>
        <w:ind w:firstLine="900"/>
        <w:jc w:val="both"/>
        <w:rPr>
          <w:rFonts w:ascii="Times New Roman" w:eastAsia="Times New Roman" w:hAnsi="Times New Roman"/>
          <w:sz w:val="28"/>
          <w:szCs w:val="28"/>
          <w:lang w:val="uk-UA" w:eastAsia="ru-RU"/>
        </w:rPr>
      </w:pPr>
      <w:r w:rsidRPr="00C52D8B">
        <w:rPr>
          <w:rFonts w:ascii="Times New Roman" w:eastAsia="Times New Roman" w:hAnsi="Times New Roman"/>
          <w:sz w:val="28"/>
          <w:szCs w:val="28"/>
          <w:lang w:val="uk-UA" w:eastAsia="ru-RU"/>
        </w:rPr>
        <w:t xml:space="preserve">інструментом державної підтримки розвитку гірських територій виступають державні програми як сукупність інвестиційних </w:t>
      </w:r>
      <w:proofErr w:type="spellStart"/>
      <w:r w:rsidRPr="00C52D8B">
        <w:rPr>
          <w:rFonts w:ascii="Times New Roman" w:eastAsia="Times New Roman" w:hAnsi="Times New Roman"/>
          <w:sz w:val="28"/>
          <w:szCs w:val="28"/>
          <w:lang w:val="uk-UA" w:eastAsia="ru-RU"/>
        </w:rPr>
        <w:t>проєктів</w:t>
      </w:r>
      <w:proofErr w:type="spellEnd"/>
      <w:r w:rsidRPr="00C52D8B">
        <w:rPr>
          <w:rFonts w:ascii="Times New Roman" w:eastAsia="Times New Roman" w:hAnsi="Times New Roman"/>
          <w:sz w:val="28"/>
          <w:szCs w:val="28"/>
          <w:lang w:val="uk-UA" w:eastAsia="ru-RU"/>
        </w:rPr>
        <w:t>, спрямованих на реалізацію пріоритетів розвитку гірських територій;</w:t>
      </w:r>
    </w:p>
    <w:p w:rsidR="00C52D8B" w:rsidRPr="00C52D8B" w:rsidRDefault="00C52D8B" w:rsidP="00C52D8B">
      <w:pPr>
        <w:spacing w:after="0" w:line="240" w:lineRule="auto"/>
        <w:ind w:firstLine="900"/>
        <w:jc w:val="both"/>
        <w:rPr>
          <w:rFonts w:ascii="Times New Roman" w:eastAsia="Times New Roman" w:hAnsi="Times New Roman"/>
          <w:sz w:val="28"/>
          <w:szCs w:val="28"/>
          <w:lang w:val="uk-UA" w:eastAsia="ru-RU"/>
        </w:rPr>
      </w:pPr>
      <w:r w:rsidRPr="00C52D8B">
        <w:rPr>
          <w:rFonts w:ascii="Times New Roman" w:eastAsia="Times New Roman" w:hAnsi="Times New Roman"/>
          <w:sz w:val="28"/>
          <w:szCs w:val="28"/>
          <w:lang w:val="uk-UA" w:eastAsia="ru-RU"/>
        </w:rPr>
        <w:t>формами державної підтримки є заходи бюджетного фінансування та кредитування встановлення податкових пільг та преференцій, державних гарантій;</w:t>
      </w:r>
    </w:p>
    <w:p w:rsidR="00C52D8B" w:rsidRPr="00C52D8B" w:rsidRDefault="00C52D8B" w:rsidP="00C52D8B">
      <w:pPr>
        <w:spacing w:after="0" w:line="240" w:lineRule="auto"/>
        <w:ind w:firstLine="900"/>
        <w:jc w:val="both"/>
        <w:rPr>
          <w:rFonts w:ascii="Times New Roman" w:eastAsia="Times New Roman" w:hAnsi="Times New Roman"/>
          <w:sz w:val="28"/>
          <w:szCs w:val="28"/>
          <w:lang w:val="uk-UA" w:eastAsia="ru-RU"/>
        </w:rPr>
      </w:pPr>
      <w:r w:rsidRPr="00C52D8B">
        <w:rPr>
          <w:rFonts w:ascii="Times New Roman" w:eastAsia="Times New Roman" w:hAnsi="Times New Roman"/>
          <w:sz w:val="28"/>
          <w:szCs w:val="28"/>
          <w:lang w:val="uk-UA" w:eastAsia="ru-RU"/>
        </w:rPr>
        <w:t xml:space="preserve">для фінансування програм і заходів щодо розвитку гірських територій у складі спеціального фонду Державного бюджету України створюється державний фонд інвестування у </w:t>
      </w:r>
      <w:proofErr w:type="spellStart"/>
      <w:r w:rsidRPr="00C52D8B">
        <w:rPr>
          <w:rFonts w:ascii="Times New Roman" w:eastAsia="Times New Roman" w:hAnsi="Times New Roman"/>
          <w:sz w:val="28"/>
          <w:szCs w:val="28"/>
          <w:lang w:val="uk-UA" w:eastAsia="ru-RU"/>
        </w:rPr>
        <w:t>проєкти</w:t>
      </w:r>
      <w:proofErr w:type="spellEnd"/>
      <w:r w:rsidRPr="00C52D8B">
        <w:rPr>
          <w:rFonts w:ascii="Times New Roman" w:eastAsia="Times New Roman" w:hAnsi="Times New Roman"/>
          <w:sz w:val="28"/>
          <w:szCs w:val="28"/>
          <w:lang w:val="uk-UA" w:eastAsia="ru-RU"/>
        </w:rPr>
        <w:t xml:space="preserve"> розвитку гірських територій в порядку, встановленому законодавством. </w:t>
      </w:r>
    </w:p>
    <w:p w:rsidR="00C52D8B" w:rsidRPr="00C52D8B" w:rsidRDefault="00C52D8B" w:rsidP="00C52D8B">
      <w:pPr>
        <w:spacing w:after="0" w:line="240" w:lineRule="auto"/>
        <w:ind w:firstLine="900"/>
        <w:jc w:val="both"/>
        <w:rPr>
          <w:rFonts w:ascii="Times New Roman" w:eastAsia="Times New Roman" w:hAnsi="Times New Roman"/>
          <w:sz w:val="28"/>
          <w:szCs w:val="28"/>
          <w:lang w:val="uk-UA" w:eastAsia="ru-RU"/>
        </w:rPr>
      </w:pPr>
      <w:r w:rsidRPr="00C52D8B">
        <w:rPr>
          <w:rFonts w:ascii="Times New Roman" w:eastAsia="Times New Roman" w:hAnsi="Times New Roman"/>
          <w:sz w:val="28"/>
          <w:szCs w:val="28"/>
          <w:lang w:val="uk-UA" w:eastAsia="ru-RU"/>
        </w:rPr>
        <w:t xml:space="preserve">Поряд з тим, значно розширюється перелік державних гарантій соціально-економічного розвитку населених пунктів, яким надано статус гірських та високогірних, у тому числі шляхом збереження підтримки діяльності мережі закладів освіти, охорони здоров’я, науки і культури, фінансування державних цільових програм розвитку гірських територій, програм пільгового кредитування громадян для індивідуального будівництва та суб’єктів підприємницької </w:t>
      </w:r>
      <w:r w:rsidRPr="00C52D8B">
        <w:rPr>
          <w:rFonts w:ascii="Times New Roman" w:eastAsia="Times New Roman" w:hAnsi="Times New Roman"/>
          <w:sz w:val="28"/>
          <w:szCs w:val="28"/>
          <w:lang w:val="uk-UA" w:eastAsia="ru-RU"/>
        </w:rPr>
        <w:lastRenderedPageBreak/>
        <w:t>діяльності для стимулювання підприємництва та створення нових робочих місць, програм використання альтернативних джерел електроенергії, спеціальної програми «Гірські дороги», програми збереження і  відновлення культурної спадщини та місцевих звичаїв.</w:t>
      </w:r>
    </w:p>
    <w:p w:rsidR="00C52D8B" w:rsidRPr="00C52D8B" w:rsidRDefault="00C52D8B" w:rsidP="00C52D8B">
      <w:pPr>
        <w:spacing w:after="0" w:line="240" w:lineRule="auto"/>
        <w:ind w:firstLine="900"/>
        <w:jc w:val="both"/>
        <w:rPr>
          <w:rFonts w:ascii="Times New Roman" w:eastAsia="Times New Roman" w:hAnsi="Times New Roman"/>
          <w:sz w:val="28"/>
          <w:szCs w:val="28"/>
          <w:lang w:val="uk-UA" w:eastAsia="ru-RU"/>
        </w:rPr>
      </w:pPr>
      <w:r w:rsidRPr="00C52D8B">
        <w:rPr>
          <w:rFonts w:ascii="Times New Roman" w:eastAsia="Times New Roman" w:hAnsi="Times New Roman"/>
          <w:sz w:val="28"/>
          <w:szCs w:val="28"/>
          <w:lang w:val="uk-UA" w:eastAsia="ru-RU"/>
        </w:rPr>
        <w:t xml:space="preserve">Водночас, законопроектом передбачається доповнити статтю 3 Закону новим пунктом 7 щодо врахування підвищеного коефіцієнту для гірських та високогірних населених пунктів при розрахунку розміру трансфертів з державного бюджету місцевим бюджетам, зокрема, освітньої та медичної субвенцій. </w:t>
      </w:r>
    </w:p>
    <w:p w:rsidR="00C52D8B" w:rsidRPr="00C52D8B" w:rsidRDefault="00C52D8B" w:rsidP="00C52D8B">
      <w:pPr>
        <w:spacing w:after="0" w:line="240" w:lineRule="auto"/>
        <w:ind w:firstLine="900"/>
        <w:jc w:val="both"/>
        <w:rPr>
          <w:rFonts w:ascii="Times New Roman" w:eastAsia="Times New Roman" w:hAnsi="Times New Roman"/>
          <w:sz w:val="28"/>
          <w:szCs w:val="28"/>
          <w:lang w:val="uk-UA" w:eastAsia="ru-RU"/>
        </w:rPr>
      </w:pPr>
      <w:r w:rsidRPr="00C52D8B">
        <w:rPr>
          <w:rFonts w:ascii="Times New Roman" w:eastAsia="Times New Roman" w:hAnsi="Times New Roman"/>
          <w:sz w:val="28"/>
          <w:szCs w:val="28"/>
          <w:lang w:val="uk-UA" w:eastAsia="ru-RU"/>
        </w:rPr>
        <w:t>Реалізація таких заходів потребуватиме додаткових коштів з державного і місцевих бюджетів та може зумовити втрату доходів таких бюджетів. Відтак, всупереч вимогам частини першої статті 27 Бюджетного кодексу України та частини третьої статті 91 Регламенту Верховної Ради України до законопроекту не надано фінансово-економічне обґрунтування (включаючи відповідні розрахунки) та пропозиції щодо додаткових джерел проведення таких видатків з державного та місцевих бюджетів для досягнення збалансованості бюджетів.</w:t>
      </w:r>
    </w:p>
    <w:p w:rsidR="00C52D8B" w:rsidRPr="00C52D8B" w:rsidRDefault="00C52D8B" w:rsidP="00C52D8B">
      <w:pPr>
        <w:spacing w:after="0" w:line="240" w:lineRule="auto"/>
        <w:ind w:firstLine="900"/>
        <w:jc w:val="both"/>
        <w:rPr>
          <w:rFonts w:ascii="Times New Roman" w:eastAsia="Times New Roman" w:hAnsi="Times New Roman"/>
          <w:sz w:val="28"/>
          <w:szCs w:val="28"/>
          <w:lang w:val="uk-UA" w:eastAsia="ru-RU"/>
        </w:rPr>
      </w:pPr>
      <w:r w:rsidRPr="00C52D8B">
        <w:rPr>
          <w:rFonts w:ascii="Times New Roman" w:eastAsia="Times New Roman" w:hAnsi="Times New Roman"/>
          <w:sz w:val="28"/>
          <w:szCs w:val="28"/>
          <w:lang w:val="uk-UA" w:eastAsia="ru-RU"/>
        </w:rPr>
        <w:t>Міністерство фінансів України також зазначаючи про такий вплив, звертає увагу, що згідно з нормами Бюджетного кодексу України, яким визначаються основи бюджетного процесу:</w:t>
      </w:r>
    </w:p>
    <w:p w:rsidR="00C52D8B" w:rsidRPr="00C52D8B" w:rsidRDefault="00C52D8B" w:rsidP="00C52D8B">
      <w:pPr>
        <w:spacing w:after="0" w:line="240" w:lineRule="auto"/>
        <w:ind w:firstLine="900"/>
        <w:jc w:val="both"/>
        <w:rPr>
          <w:rFonts w:ascii="Times New Roman" w:eastAsia="Times New Roman" w:hAnsi="Times New Roman"/>
          <w:sz w:val="28"/>
          <w:szCs w:val="28"/>
          <w:lang w:val="uk-UA" w:eastAsia="ru-RU"/>
        </w:rPr>
      </w:pPr>
      <w:r w:rsidRPr="00C52D8B">
        <w:rPr>
          <w:rFonts w:ascii="Times New Roman" w:eastAsia="Times New Roman" w:hAnsi="Times New Roman"/>
          <w:sz w:val="28"/>
          <w:szCs w:val="28"/>
          <w:lang w:val="uk-UA" w:eastAsia="ru-RU"/>
        </w:rPr>
        <w:t>фінансові нормативи бюджетної забезпеченості для місцевих бюджетів коригуються коефіцієнтами, що враховують відмінності у вартості надання гарантованих послуг залежно від: кількості населення та споживачів гарантованих послуг, соціально-економічних, демографічних, кліматичних, екологічних та інших особливостей (з часу їх визначення) адміністративно-територіальних одиниць /</w:t>
      </w:r>
      <w:r w:rsidRPr="00C52D8B">
        <w:rPr>
          <w:rFonts w:ascii="Times New Roman" w:eastAsia="Times New Roman" w:hAnsi="Times New Roman"/>
          <w:i/>
          <w:sz w:val="28"/>
          <w:szCs w:val="28"/>
          <w:lang w:val="uk-UA" w:eastAsia="ru-RU"/>
        </w:rPr>
        <w:t>стаття 95</w:t>
      </w:r>
      <w:r w:rsidRPr="00C52D8B">
        <w:rPr>
          <w:rFonts w:ascii="Times New Roman" w:eastAsia="Times New Roman" w:hAnsi="Times New Roman"/>
          <w:sz w:val="28"/>
          <w:szCs w:val="28"/>
          <w:lang w:val="uk-UA" w:eastAsia="ru-RU"/>
        </w:rPr>
        <w:t xml:space="preserve">/; </w:t>
      </w:r>
    </w:p>
    <w:p w:rsidR="00C52D8B" w:rsidRPr="00C52D8B" w:rsidRDefault="00C52D8B" w:rsidP="00C52D8B">
      <w:pPr>
        <w:spacing w:after="0" w:line="240" w:lineRule="auto"/>
        <w:ind w:firstLine="900"/>
        <w:jc w:val="both"/>
        <w:rPr>
          <w:rFonts w:ascii="Times New Roman" w:eastAsia="Times New Roman" w:hAnsi="Times New Roman"/>
          <w:i/>
          <w:sz w:val="28"/>
          <w:szCs w:val="28"/>
          <w:lang w:val="uk-UA" w:eastAsia="ru-RU"/>
        </w:rPr>
      </w:pPr>
      <w:r w:rsidRPr="00C52D8B">
        <w:rPr>
          <w:rFonts w:ascii="Times New Roman" w:eastAsia="Times New Roman" w:hAnsi="Times New Roman"/>
          <w:sz w:val="28"/>
          <w:szCs w:val="28"/>
          <w:lang w:val="uk-UA" w:eastAsia="ru-RU"/>
        </w:rPr>
        <w:t>у складі освітньої субвенції зважаючи на вимоги пункту 1 частини третьої статті 103-2, враховуються видатки, пов’язані із статусом гірських населених пунктів, шляхом застосування коефіцієнта приведення кількості учнів у закладах освіти, які розташовані у гірських населених пунктах, 1,25 відповідно до постанови Кабінету Міністрів України від 27.12.2017 №1088 «Про затвердження формули  розподілу освітньої субвенції між місцевими бюджетами»);</w:t>
      </w:r>
    </w:p>
    <w:p w:rsidR="00C52D8B" w:rsidRPr="00C52D8B" w:rsidRDefault="00C931C9" w:rsidP="00C52D8B">
      <w:pPr>
        <w:spacing w:after="0" w:line="240" w:lineRule="auto"/>
        <w:ind w:firstLine="851"/>
        <w:jc w:val="both"/>
        <w:rPr>
          <w:rFonts w:ascii="Times New Roman" w:eastAsia="Times New Roman" w:hAnsi="Times New Roman"/>
          <w:sz w:val="28"/>
          <w:szCs w:val="28"/>
          <w:lang w:val="uk-UA" w:eastAsia="ru-RU"/>
        </w:rPr>
      </w:pPr>
      <w:hyperlink r:id="rId7" w:tgtFrame="_blank" w:history="1">
        <w:r w:rsidR="00C52D8B" w:rsidRPr="00C52D8B">
          <w:rPr>
            <w:rFonts w:ascii="Times New Roman" w:eastAsia="Times New Roman" w:hAnsi="Times New Roman"/>
            <w:sz w:val="28"/>
            <w:szCs w:val="28"/>
            <w:lang w:val="uk-UA" w:eastAsia="ru-RU"/>
          </w:rPr>
          <w:t xml:space="preserve">згідно з формулою розподілу медичної субвенції, затвердженою на виконання пункту 3 частини третьої статті 103-4 постановою Кабінету Міністрів України від 19.08.2015 №618, загальний показник обсягу медичної субвенції відповідно до Закону України «Про статус гірських населених пунктів в Україні» визначається за окремим розрахунком. </w:t>
        </w:r>
      </w:hyperlink>
    </w:p>
    <w:p w:rsidR="00C52D8B" w:rsidRPr="00C52D8B" w:rsidRDefault="00C52D8B" w:rsidP="00C52D8B">
      <w:pPr>
        <w:spacing w:after="0" w:line="240" w:lineRule="auto"/>
        <w:ind w:firstLine="900"/>
        <w:jc w:val="both"/>
        <w:rPr>
          <w:rFonts w:ascii="Times New Roman" w:eastAsia="Times New Roman" w:hAnsi="Times New Roman"/>
          <w:sz w:val="28"/>
          <w:szCs w:val="28"/>
          <w:lang w:val="uk-UA" w:eastAsia="ru-RU"/>
        </w:rPr>
      </w:pPr>
      <w:r w:rsidRPr="00C52D8B">
        <w:rPr>
          <w:rFonts w:ascii="Times New Roman" w:eastAsia="Times New Roman" w:hAnsi="Times New Roman"/>
          <w:sz w:val="28"/>
          <w:szCs w:val="28"/>
          <w:lang w:val="uk-UA" w:eastAsia="ru-RU"/>
        </w:rPr>
        <w:t xml:space="preserve">порядок та умови надання субвенцій з державного бюджету місцевим бюджетам, а також критерії розподілу додаткових дотацій між місцевими бюджетами визначаються Кабінетом Міністрів України </w:t>
      </w:r>
      <w:r w:rsidRPr="00C52D8B">
        <w:rPr>
          <w:rFonts w:ascii="Times New Roman" w:eastAsia="Times New Roman" w:hAnsi="Times New Roman"/>
          <w:i/>
          <w:sz w:val="28"/>
          <w:szCs w:val="28"/>
          <w:lang w:val="uk-UA" w:eastAsia="ru-RU"/>
        </w:rPr>
        <w:t>/частина друга статті 97/.</w:t>
      </w:r>
    </w:p>
    <w:p w:rsidR="00C52D8B" w:rsidRPr="00C52D8B" w:rsidRDefault="00C52D8B" w:rsidP="00C52D8B">
      <w:pPr>
        <w:spacing w:after="0" w:line="240" w:lineRule="auto"/>
        <w:ind w:firstLine="900"/>
        <w:jc w:val="both"/>
        <w:rPr>
          <w:rFonts w:ascii="Times New Roman" w:eastAsia="Times New Roman" w:hAnsi="Times New Roman"/>
          <w:sz w:val="27"/>
          <w:szCs w:val="27"/>
          <w:lang w:val="uk-UA" w:eastAsia="ru-RU"/>
        </w:rPr>
      </w:pPr>
      <w:bookmarkStart w:id="1" w:name="n18"/>
      <w:bookmarkEnd w:id="1"/>
      <w:r w:rsidRPr="00C52D8B">
        <w:rPr>
          <w:rFonts w:ascii="Times New Roman" w:eastAsia="Times New Roman" w:hAnsi="Times New Roman"/>
          <w:sz w:val="27"/>
          <w:szCs w:val="27"/>
          <w:lang w:val="uk-UA" w:eastAsia="ru-RU"/>
        </w:rPr>
        <w:t>Поряд з тим, слід відмітити, що окремі положення законопроекту потребують узгодження з чинними вимогами Бюджетного кодексу України, зокрема:</w:t>
      </w:r>
    </w:p>
    <w:p w:rsidR="00C52D8B" w:rsidRPr="00C52D8B" w:rsidRDefault="00C52D8B" w:rsidP="00C52D8B">
      <w:pPr>
        <w:spacing w:after="0" w:line="240" w:lineRule="auto"/>
        <w:ind w:firstLine="900"/>
        <w:jc w:val="both"/>
        <w:rPr>
          <w:rFonts w:ascii="Times New Roman" w:eastAsia="Times New Roman" w:hAnsi="Times New Roman"/>
          <w:sz w:val="27"/>
          <w:szCs w:val="27"/>
          <w:lang w:val="uk-UA" w:eastAsia="ru-RU"/>
        </w:rPr>
      </w:pPr>
      <w:r w:rsidRPr="00C52D8B">
        <w:rPr>
          <w:rFonts w:ascii="Times New Roman" w:eastAsia="Times New Roman" w:hAnsi="Times New Roman"/>
          <w:sz w:val="27"/>
          <w:szCs w:val="27"/>
          <w:lang w:val="uk-UA" w:eastAsia="ru-RU"/>
        </w:rPr>
        <w:t xml:space="preserve">згідно з абзацом 14 пункту 4 законопроекту (щодо доповнення законопроекту новою статтею 2-1) для фінансування програм і заходів щодо розвитку гірських територій у складі спеціального фонду державного бюджету створюється </w:t>
      </w:r>
      <w:r w:rsidRPr="00C52D8B">
        <w:rPr>
          <w:rFonts w:ascii="Times New Roman" w:eastAsia="Times New Roman" w:hAnsi="Times New Roman"/>
          <w:sz w:val="27"/>
          <w:szCs w:val="27"/>
          <w:lang w:val="uk-UA" w:eastAsia="ru-RU"/>
        </w:rPr>
        <w:lastRenderedPageBreak/>
        <w:t>спеціальний фонд інвестування у проекти розвитку гірських територій (без належного визначення джерел його формування). Таке положення не відповідає частині п’ятій статті 13 Бюджетного кодексу України, згідно з якою розподіл бюджету на загальний та спеціальний фонди, їх складові частини визначаються виключно цим Кодексом та законом про Державний бюджет України;</w:t>
      </w:r>
    </w:p>
    <w:p w:rsidR="00C52D8B" w:rsidRPr="00C52D8B" w:rsidRDefault="00C52D8B" w:rsidP="00C52D8B">
      <w:pPr>
        <w:spacing w:after="0" w:line="240" w:lineRule="auto"/>
        <w:ind w:firstLine="900"/>
        <w:jc w:val="both"/>
        <w:rPr>
          <w:rFonts w:ascii="Times New Roman" w:eastAsia="Times New Roman" w:hAnsi="Times New Roman"/>
          <w:sz w:val="27"/>
          <w:szCs w:val="27"/>
          <w:lang w:val="uk-UA" w:eastAsia="ru-RU"/>
        </w:rPr>
      </w:pPr>
      <w:r w:rsidRPr="00C52D8B">
        <w:rPr>
          <w:rFonts w:ascii="Times New Roman" w:eastAsia="Times New Roman" w:hAnsi="Times New Roman"/>
          <w:sz w:val="27"/>
          <w:szCs w:val="27"/>
          <w:lang w:val="uk-UA" w:eastAsia="ru-RU"/>
        </w:rPr>
        <w:t>відповідно до підпункту 15 пункту 5 законопроекту (зміни до статті 3 Закону) пропонується для вирівнювання бюджетної диспропорції і розвитку бюджетної структури вирішити питання надання безвідсоткових банківських і казначейських кредитів. Зазначене не відповідає вимогам частини третьої статті 16 якою право на здійснення внутрішніх запозичень надано Верховній Раді Автономної Республіки Крим та міським радам, частини п’ятої статті 43, статті 73, відповідно до яких відповідними місцевими бюджетами отримуються позики на покриття тимчасових касових розривів у фінансових установах та у Казначействі України, частини першої статті 74, згідно з якою місцеві запозичення здійснюються з метою фінансування бюджету розвитку.</w:t>
      </w:r>
    </w:p>
    <w:p w:rsidR="00C52D8B" w:rsidRPr="00C52D8B" w:rsidRDefault="00C52D8B" w:rsidP="00C52D8B">
      <w:pPr>
        <w:spacing w:after="0" w:line="240" w:lineRule="auto"/>
        <w:ind w:firstLine="900"/>
        <w:jc w:val="both"/>
        <w:rPr>
          <w:rFonts w:ascii="Times New Roman" w:eastAsia="Times New Roman" w:hAnsi="Times New Roman"/>
          <w:sz w:val="28"/>
          <w:szCs w:val="28"/>
          <w:lang w:val="uk-UA" w:eastAsia="ru-RU"/>
        </w:rPr>
      </w:pPr>
      <w:r w:rsidRPr="00C52D8B">
        <w:rPr>
          <w:rFonts w:ascii="Times New Roman" w:eastAsia="Times New Roman" w:hAnsi="Times New Roman"/>
          <w:sz w:val="27"/>
          <w:szCs w:val="27"/>
          <w:lang w:val="uk-UA" w:eastAsia="ru-RU"/>
        </w:rPr>
        <w:t>застосовані у законопроекті терміни, зокрема, «фінансування», «кредитування», «державні програми як сукупність інвестиційних проектів», «державний та місцеві фонди інвестування» необхідно привести у відповідність до термінології, яка вживається у Бюджетному кодексі України.</w:t>
      </w:r>
    </w:p>
    <w:p w:rsidR="00C52D8B" w:rsidRPr="00C52D8B" w:rsidRDefault="00C52D8B" w:rsidP="00C52D8B">
      <w:pPr>
        <w:spacing w:after="0" w:line="240" w:lineRule="auto"/>
        <w:ind w:firstLine="851"/>
        <w:jc w:val="both"/>
        <w:rPr>
          <w:rFonts w:ascii="Times New Roman" w:eastAsia="Times New Roman" w:hAnsi="Times New Roman"/>
          <w:sz w:val="28"/>
          <w:szCs w:val="28"/>
          <w:lang w:val="uk-UA" w:eastAsia="ru-RU"/>
        </w:rPr>
      </w:pPr>
      <w:r w:rsidRPr="00C52D8B">
        <w:rPr>
          <w:rFonts w:ascii="Times New Roman" w:eastAsia="Times New Roman" w:hAnsi="Times New Roman"/>
          <w:sz w:val="28"/>
          <w:szCs w:val="28"/>
          <w:lang w:val="uk-UA" w:eastAsia="ru-RU"/>
        </w:rPr>
        <w:t>Термін набрання чинності законом, визначений у законопроекті, не відповідає вимогам частини третьої статті 27 Бюджетного кодексу України в частині набрання чинності законами України або їх окремими положеннями, які впливають на показники бюджету (зменшують надходження бюджету та/або збільшують витрати бюджету).</w:t>
      </w:r>
    </w:p>
    <w:p w:rsidR="00C52D8B" w:rsidRPr="00C52D8B" w:rsidRDefault="00C52D8B" w:rsidP="00C52D8B">
      <w:pPr>
        <w:spacing w:after="0" w:line="240" w:lineRule="auto"/>
        <w:ind w:firstLine="900"/>
        <w:jc w:val="both"/>
        <w:rPr>
          <w:rFonts w:ascii="Times New Roman" w:eastAsia="Times New Roman" w:hAnsi="Times New Roman"/>
          <w:bCs/>
          <w:iCs/>
          <w:sz w:val="27"/>
          <w:szCs w:val="27"/>
          <w:lang w:val="uk-UA" w:eastAsia="ru-RU"/>
        </w:rPr>
      </w:pPr>
      <w:r w:rsidRPr="00C52D8B">
        <w:rPr>
          <w:rFonts w:ascii="Times New Roman" w:eastAsia="Times New Roman" w:hAnsi="Times New Roman"/>
          <w:bCs/>
          <w:iCs/>
          <w:sz w:val="27"/>
          <w:szCs w:val="27"/>
          <w:lang w:val="uk-UA" w:eastAsia="ru-RU"/>
        </w:rPr>
        <w:t>За підсумками розгляду Комітет ухвалив рішення:</w:t>
      </w:r>
    </w:p>
    <w:p w:rsidR="00C52D8B" w:rsidRPr="00C52D8B" w:rsidRDefault="00C52D8B" w:rsidP="00C52D8B">
      <w:pPr>
        <w:spacing w:after="0" w:line="240" w:lineRule="auto"/>
        <w:ind w:firstLine="900"/>
        <w:jc w:val="both"/>
        <w:rPr>
          <w:rFonts w:ascii="Times New Roman" w:eastAsia="Times New Roman" w:hAnsi="Times New Roman"/>
          <w:sz w:val="28"/>
          <w:szCs w:val="28"/>
          <w:lang w:val="uk-UA" w:eastAsia="ru-RU"/>
        </w:rPr>
      </w:pPr>
      <w:r w:rsidRPr="00C52D8B">
        <w:rPr>
          <w:rFonts w:ascii="Times New Roman" w:eastAsia="Times New Roman" w:hAnsi="Times New Roman"/>
          <w:bCs/>
          <w:iCs/>
          <w:sz w:val="27"/>
          <w:szCs w:val="27"/>
          <w:lang w:val="uk-UA" w:eastAsia="ru-RU"/>
        </w:rPr>
        <w:t>1. П</w:t>
      </w:r>
      <w:r w:rsidRPr="00C52D8B">
        <w:rPr>
          <w:rFonts w:ascii="Times New Roman" w:eastAsia="Times New Roman" w:hAnsi="Times New Roman"/>
          <w:sz w:val="28"/>
          <w:szCs w:val="28"/>
          <w:lang w:val="uk-UA" w:eastAsia="ru-RU"/>
        </w:rPr>
        <w:t>роект закону про</w:t>
      </w:r>
      <w:r w:rsidRPr="00C52D8B">
        <w:rPr>
          <w:rFonts w:ascii="Times New Roman" w:eastAsia="Times New Roman" w:hAnsi="Times New Roman"/>
          <w:sz w:val="27"/>
          <w:szCs w:val="27"/>
          <w:lang w:val="uk-UA" w:eastAsia="ru-RU"/>
        </w:rPr>
        <w:t xml:space="preserve"> </w:t>
      </w:r>
      <w:r w:rsidRPr="00C52D8B">
        <w:rPr>
          <w:rFonts w:ascii="Times New Roman" w:eastAsia="Times New Roman" w:hAnsi="Times New Roman"/>
          <w:sz w:val="28"/>
          <w:szCs w:val="28"/>
          <w:lang w:val="uk-UA" w:eastAsia="ru-RU"/>
        </w:rPr>
        <w:t>внесення змін до Закону України «Про статус гірських населених пунктів в Україні»</w:t>
      </w:r>
      <w:r w:rsidRPr="00C52D8B">
        <w:rPr>
          <w:rFonts w:ascii="Times New Roman" w:eastAsia="Times New Roman" w:hAnsi="Times New Roman"/>
          <w:sz w:val="27"/>
          <w:szCs w:val="27"/>
          <w:lang w:val="uk-UA" w:eastAsia="ru-RU"/>
        </w:rPr>
        <w:t xml:space="preserve"> щодо розвитку гірських та високогірних населених пунктів (</w:t>
      </w:r>
      <w:r w:rsidRPr="00C52D8B">
        <w:rPr>
          <w:rFonts w:ascii="Times New Roman" w:eastAsia="Times New Roman" w:hAnsi="Times New Roman"/>
          <w:sz w:val="28"/>
          <w:szCs w:val="28"/>
          <w:lang w:val="uk-UA" w:eastAsia="ru-RU"/>
        </w:rPr>
        <w:t>реєстр. № 2785 від 20.01.2020 р.)</w:t>
      </w:r>
      <w:r w:rsidRPr="00C52D8B">
        <w:rPr>
          <w:rFonts w:ascii="Times New Roman" w:eastAsia="Times New Roman" w:hAnsi="Times New Roman"/>
          <w:sz w:val="27"/>
          <w:szCs w:val="27"/>
          <w:lang w:val="uk-UA" w:eastAsia="ru-RU"/>
        </w:rPr>
        <w:t xml:space="preserve">, поданий </w:t>
      </w:r>
      <w:r w:rsidRPr="00C52D8B">
        <w:rPr>
          <w:rFonts w:ascii="Times New Roman" w:eastAsia="Times New Roman" w:hAnsi="Times New Roman"/>
          <w:sz w:val="28"/>
          <w:szCs w:val="28"/>
          <w:lang w:val="uk-UA" w:eastAsia="ru-RU"/>
        </w:rPr>
        <w:t xml:space="preserve">народним депутатом України Андрійовичем З.М., має вплив на показники державного і місцевих бюджетів (призведе до збільшення видатків </w:t>
      </w:r>
      <w:r w:rsidRPr="00C52D8B">
        <w:rPr>
          <w:rFonts w:ascii="Times New Roman" w:eastAsia="Times New Roman" w:hAnsi="Times New Roman"/>
          <w:spacing w:val="-2"/>
          <w:sz w:val="28"/>
          <w:szCs w:val="28"/>
          <w:lang w:val="uk-UA" w:eastAsia="ru-RU"/>
        </w:rPr>
        <w:t xml:space="preserve">та може зумовити зменшення надходжень). У разі прийняття відповідного закону до </w:t>
      </w:r>
      <w:r w:rsidRPr="00C52D8B">
        <w:rPr>
          <w:rFonts w:ascii="Times New Roman" w:eastAsia="Times New Roman" w:hAnsi="Times New Roman"/>
          <w:sz w:val="28"/>
          <w:szCs w:val="28"/>
          <w:lang w:val="uk-UA" w:eastAsia="ru-RU"/>
        </w:rPr>
        <w:t>15 липня 2020 року він має вводитися в дію не раніше 1 січня 2021 року, а після 15 липня 2020 року - не раніше 1 січня 2021 року (або 1 січня наступного за цим року залежно від часу прийняття закону).</w:t>
      </w:r>
    </w:p>
    <w:p w:rsidR="00C52D8B" w:rsidRPr="00C52D8B" w:rsidRDefault="00C52D8B" w:rsidP="00C52D8B">
      <w:pPr>
        <w:spacing w:after="0" w:line="240" w:lineRule="auto"/>
        <w:ind w:firstLine="900"/>
        <w:jc w:val="both"/>
        <w:rPr>
          <w:rFonts w:ascii="Times New Roman" w:eastAsia="Times New Roman" w:hAnsi="Times New Roman"/>
          <w:b/>
          <w:sz w:val="28"/>
          <w:szCs w:val="28"/>
          <w:lang w:val="uk-UA" w:eastAsia="ru-RU"/>
        </w:rPr>
      </w:pPr>
      <w:r w:rsidRPr="00C52D8B">
        <w:rPr>
          <w:rFonts w:ascii="Times New Roman" w:eastAsia="Times New Roman" w:hAnsi="Times New Roman"/>
          <w:sz w:val="28"/>
          <w:szCs w:val="28"/>
          <w:lang w:val="uk-UA" w:eastAsia="ru-RU"/>
        </w:rPr>
        <w:t>2. Рекомендувати</w:t>
      </w:r>
      <w:r w:rsidRPr="00C52D8B">
        <w:rPr>
          <w:rFonts w:ascii="Times New Roman" w:eastAsia="Times New Roman" w:hAnsi="Times New Roman"/>
          <w:color w:val="000000"/>
          <w:spacing w:val="-3"/>
          <w:sz w:val="28"/>
          <w:szCs w:val="28"/>
          <w:lang w:val="uk-UA" w:eastAsia="ru-RU"/>
        </w:rPr>
        <w:t xml:space="preserve"> </w:t>
      </w:r>
      <w:r w:rsidRPr="00C52D8B">
        <w:rPr>
          <w:rFonts w:ascii="Times New Roman" w:eastAsia="Times New Roman" w:hAnsi="Times New Roman"/>
          <w:sz w:val="28"/>
          <w:szCs w:val="28"/>
          <w:lang w:val="uk-UA" w:eastAsia="ru-RU"/>
        </w:rPr>
        <w:t xml:space="preserve">Комітету з питань організації державної влади, місцевого самоврядування, регіонального розвитку та містобудування </w:t>
      </w:r>
      <w:r w:rsidRPr="00C52D8B">
        <w:rPr>
          <w:rFonts w:ascii="Times New Roman" w:eastAsia="Times New Roman" w:hAnsi="Times New Roman"/>
          <w:color w:val="000000"/>
          <w:spacing w:val="-3"/>
          <w:sz w:val="28"/>
          <w:szCs w:val="28"/>
          <w:lang w:val="uk-UA" w:eastAsia="ru-RU"/>
        </w:rPr>
        <w:t>при доопрацюванні законопроекту привести його</w:t>
      </w:r>
      <w:r w:rsidRPr="00C52D8B">
        <w:rPr>
          <w:rFonts w:ascii="Times New Roman" w:eastAsia="Times New Roman" w:hAnsi="Times New Roman"/>
          <w:sz w:val="28"/>
          <w:szCs w:val="28"/>
          <w:lang w:val="uk-UA" w:eastAsia="ru-RU"/>
        </w:rPr>
        <w:t xml:space="preserve"> положення у відповідність до вимог Бюджетного кодексу України</w:t>
      </w:r>
      <w:r>
        <w:rPr>
          <w:rFonts w:ascii="Times New Roman" w:eastAsia="Times New Roman" w:hAnsi="Times New Roman"/>
          <w:sz w:val="28"/>
          <w:szCs w:val="28"/>
          <w:lang w:val="uk-UA" w:eastAsia="ru-RU"/>
        </w:rPr>
        <w:t xml:space="preserve"> з урахуванням висновку Комітету</w:t>
      </w:r>
      <w:r w:rsidRPr="00C52D8B">
        <w:rPr>
          <w:rFonts w:ascii="Times New Roman" w:eastAsia="Times New Roman" w:hAnsi="Times New Roman"/>
          <w:sz w:val="28"/>
          <w:szCs w:val="28"/>
          <w:lang w:val="uk-UA" w:eastAsia="ru-RU"/>
        </w:rPr>
        <w:t>.</w:t>
      </w:r>
    </w:p>
    <w:p w:rsidR="00C52D8B" w:rsidRPr="00C52D8B" w:rsidRDefault="00C52D8B" w:rsidP="00C52D8B">
      <w:pPr>
        <w:spacing w:after="0" w:line="240" w:lineRule="auto"/>
        <w:jc w:val="both"/>
        <w:rPr>
          <w:rFonts w:ascii="Times New Roman" w:eastAsia="Times New Roman" w:hAnsi="Times New Roman"/>
          <w:b/>
          <w:sz w:val="28"/>
          <w:szCs w:val="28"/>
          <w:lang w:val="uk-UA" w:eastAsia="ru-RU"/>
        </w:rPr>
      </w:pPr>
    </w:p>
    <w:p w:rsidR="00C52D8B" w:rsidRPr="00C52D8B" w:rsidRDefault="00C52D8B" w:rsidP="00C52D8B">
      <w:pPr>
        <w:spacing w:after="0" w:line="240" w:lineRule="auto"/>
        <w:jc w:val="both"/>
        <w:rPr>
          <w:rFonts w:ascii="Times New Roman" w:eastAsia="Times New Roman" w:hAnsi="Times New Roman"/>
          <w:b/>
          <w:sz w:val="27"/>
          <w:szCs w:val="27"/>
          <w:lang w:val="uk-UA" w:eastAsia="ru-RU"/>
        </w:rPr>
      </w:pPr>
    </w:p>
    <w:p w:rsidR="00C52D8B" w:rsidRPr="00C52D8B" w:rsidRDefault="00C52D8B" w:rsidP="00C52D8B">
      <w:pPr>
        <w:spacing w:after="0" w:line="240" w:lineRule="auto"/>
        <w:jc w:val="both"/>
        <w:rPr>
          <w:rFonts w:ascii="Times New Roman" w:eastAsia="Times New Roman" w:hAnsi="Times New Roman"/>
          <w:b/>
          <w:sz w:val="27"/>
          <w:szCs w:val="27"/>
          <w:lang w:val="uk-UA" w:eastAsia="ru-RU"/>
        </w:rPr>
      </w:pPr>
      <w:r w:rsidRPr="00C52D8B">
        <w:rPr>
          <w:rFonts w:ascii="Times New Roman" w:eastAsia="Times New Roman" w:hAnsi="Times New Roman"/>
          <w:b/>
          <w:sz w:val="27"/>
          <w:szCs w:val="27"/>
          <w:lang w:val="uk-UA" w:eastAsia="ru-RU"/>
        </w:rPr>
        <w:t xml:space="preserve">Голова Комітету </w:t>
      </w:r>
      <w:r w:rsidRPr="00C52D8B">
        <w:rPr>
          <w:rFonts w:ascii="Times New Roman" w:eastAsia="Times New Roman" w:hAnsi="Times New Roman"/>
          <w:b/>
          <w:sz w:val="27"/>
          <w:szCs w:val="27"/>
          <w:lang w:val="uk-UA" w:eastAsia="ru-RU"/>
        </w:rPr>
        <w:tab/>
      </w:r>
      <w:r w:rsidRPr="00C52D8B">
        <w:rPr>
          <w:rFonts w:ascii="Times New Roman" w:eastAsia="Times New Roman" w:hAnsi="Times New Roman"/>
          <w:b/>
          <w:sz w:val="27"/>
          <w:szCs w:val="27"/>
          <w:lang w:val="uk-UA" w:eastAsia="ru-RU"/>
        </w:rPr>
        <w:tab/>
      </w:r>
      <w:r w:rsidRPr="00C52D8B">
        <w:rPr>
          <w:rFonts w:ascii="Times New Roman" w:eastAsia="Times New Roman" w:hAnsi="Times New Roman"/>
          <w:b/>
          <w:sz w:val="27"/>
          <w:szCs w:val="27"/>
          <w:lang w:val="uk-UA" w:eastAsia="ru-RU"/>
        </w:rPr>
        <w:tab/>
      </w:r>
      <w:r w:rsidRPr="00C52D8B">
        <w:rPr>
          <w:rFonts w:ascii="Times New Roman" w:eastAsia="Times New Roman" w:hAnsi="Times New Roman"/>
          <w:b/>
          <w:sz w:val="27"/>
          <w:szCs w:val="27"/>
          <w:lang w:val="uk-UA" w:eastAsia="ru-RU"/>
        </w:rPr>
        <w:tab/>
      </w:r>
      <w:r w:rsidRPr="00C52D8B">
        <w:rPr>
          <w:rFonts w:ascii="Times New Roman" w:eastAsia="Times New Roman" w:hAnsi="Times New Roman"/>
          <w:b/>
          <w:sz w:val="27"/>
          <w:szCs w:val="27"/>
          <w:lang w:val="uk-UA" w:eastAsia="ru-RU"/>
        </w:rPr>
        <w:tab/>
      </w:r>
      <w:r w:rsidRPr="00C52D8B">
        <w:rPr>
          <w:rFonts w:ascii="Times New Roman" w:eastAsia="Times New Roman" w:hAnsi="Times New Roman"/>
          <w:b/>
          <w:sz w:val="27"/>
          <w:szCs w:val="27"/>
          <w:lang w:val="uk-UA" w:eastAsia="ru-RU"/>
        </w:rPr>
        <w:tab/>
      </w:r>
      <w:r w:rsidRPr="00C52D8B">
        <w:rPr>
          <w:rFonts w:ascii="Times New Roman" w:eastAsia="Times New Roman" w:hAnsi="Times New Roman"/>
          <w:b/>
          <w:sz w:val="27"/>
          <w:szCs w:val="27"/>
          <w:lang w:val="uk-UA" w:eastAsia="ru-RU"/>
        </w:rPr>
        <w:tab/>
      </w:r>
      <w:r w:rsidRPr="00C52D8B">
        <w:rPr>
          <w:rFonts w:ascii="Times New Roman" w:eastAsia="Times New Roman" w:hAnsi="Times New Roman"/>
          <w:b/>
          <w:sz w:val="27"/>
          <w:szCs w:val="27"/>
          <w:lang w:val="uk-UA" w:eastAsia="ru-RU"/>
        </w:rPr>
        <w:tab/>
      </w:r>
      <w:r w:rsidRPr="00C52D8B">
        <w:rPr>
          <w:rFonts w:ascii="Times New Roman" w:eastAsia="Times New Roman" w:hAnsi="Times New Roman"/>
          <w:b/>
          <w:sz w:val="27"/>
          <w:szCs w:val="27"/>
          <w:lang w:val="uk-UA" w:eastAsia="ru-RU"/>
        </w:rPr>
        <w:tab/>
        <w:t>Ю.Ю. Арістов</w:t>
      </w:r>
    </w:p>
    <w:p w:rsidR="00C52D8B" w:rsidRPr="00C52D8B" w:rsidRDefault="00C52D8B" w:rsidP="00C52D8B">
      <w:pPr>
        <w:spacing w:after="0" w:line="240" w:lineRule="auto"/>
        <w:jc w:val="both"/>
        <w:rPr>
          <w:rFonts w:ascii="Times New Roman" w:eastAsia="Times New Roman" w:hAnsi="Times New Roman"/>
          <w:b/>
          <w:sz w:val="27"/>
          <w:szCs w:val="27"/>
          <w:lang w:val="uk-UA" w:eastAsia="ru-RU"/>
        </w:rPr>
      </w:pPr>
    </w:p>
    <w:p w:rsidR="00C52D8B" w:rsidRPr="00C52D8B" w:rsidRDefault="00C52D8B" w:rsidP="00C52D8B">
      <w:pPr>
        <w:spacing w:after="0" w:line="240" w:lineRule="auto"/>
        <w:jc w:val="both"/>
        <w:rPr>
          <w:rFonts w:ascii="Times New Roman" w:eastAsia="Times New Roman" w:hAnsi="Times New Roman"/>
          <w:b/>
          <w:sz w:val="27"/>
          <w:szCs w:val="27"/>
          <w:lang w:val="uk-UA" w:eastAsia="ru-RU"/>
        </w:rPr>
      </w:pPr>
    </w:p>
    <w:p w:rsidR="00C52D8B" w:rsidRPr="00C52D8B" w:rsidRDefault="00C52D8B" w:rsidP="00C52D8B">
      <w:pPr>
        <w:spacing w:after="0" w:line="240" w:lineRule="auto"/>
        <w:jc w:val="both"/>
        <w:rPr>
          <w:rFonts w:ascii="Times New Roman" w:eastAsia="Times New Roman" w:hAnsi="Times New Roman"/>
          <w:b/>
          <w:sz w:val="27"/>
          <w:szCs w:val="27"/>
          <w:lang w:val="uk-UA" w:eastAsia="ru-RU"/>
        </w:rPr>
      </w:pPr>
    </w:p>
    <w:p w:rsidR="00C52D8B" w:rsidRPr="00C52D8B" w:rsidRDefault="00C52D8B" w:rsidP="00C52D8B">
      <w:pPr>
        <w:spacing w:after="0" w:line="240" w:lineRule="auto"/>
        <w:jc w:val="both"/>
        <w:rPr>
          <w:rFonts w:ascii="Times New Roman" w:eastAsia="Times New Roman" w:hAnsi="Times New Roman"/>
          <w:sz w:val="18"/>
          <w:szCs w:val="18"/>
          <w:lang w:val="uk-UA" w:eastAsia="ru-RU"/>
        </w:rPr>
      </w:pPr>
      <w:r w:rsidRPr="00C52D8B">
        <w:rPr>
          <w:rFonts w:ascii="Times New Roman" w:eastAsia="Times New Roman" w:hAnsi="Times New Roman"/>
          <w:sz w:val="18"/>
          <w:szCs w:val="18"/>
          <w:lang w:val="uk-UA" w:eastAsia="ru-RU"/>
        </w:rPr>
        <w:t>Криволап М.К.</w:t>
      </w:r>
    </w:p>
    <w:p w:rsidR="005024E5" w:rsidRPr="00C52D8B" w:rsidRDefault="00C52D8B" w:rsidP="00C52D8B">
      <w:pPr>
        <w:spacing w:after="0" w:line="240" w:lineRule="auto"/>
        <w:jc w:val="both"/>
        <w:rPr>
          <w:rFonts w:ascii="Times New Roman" w:eastAsia="Times New Roman" w:hAnsi="Times New Roman"/>
          <w:sz w:val="18"/>
          <w:szCs w:val="18"/>
          <w:lang w:val="uk-UA" w:eastAsia="ru-RU"/>
        </w:rPr>
      </w:pPr>
      <w:r w:rsidRPr="00C52D8B">
        <w:rPr>
          <w:rFonts w:ascii="Times New Roman" w:eastAsia="Times New Roman" w:hAnsi="Times New Roman"/>
          <w:sz w:val="18"/>
          <w:szCs w:val="18"/>
          <w:lang w:val="uk-UA" w:eastAsia="ru-RU"/>
        </w:rPr>
        <w:t>2554456</w:t>
      </w:r>
    </w:p>
    <w:sectPr w:rsidR="005024E5" w:rsidRPr="00C52D8B" w:rsidSect="00C52D8B">
      <w:headerReference w:type="default" r:id="rId8"/>
      <w:footerReference w:type="default" r:id="rId9"/>
      <w:headerReference w:type="first" r:id="rId10"/>
      <w:footerReference w:type="first" r:id="rId11"/>
      <w:pgSz w:w="11906" w:h="16838"/>
      <w:pgMar w:top="1134" w:right="991" w:bottom="1134" w:left="1134"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31C9" w:rsidRDefault="00C931C9" w:rsidP="005E306B">
      <w:pPr>
        <w:spacing w:after="0" w:line="240" w:lineRule="auto"/>
      </w:pPr>
      <w:r>
        <w:separator/>
      </w:r>
    </w:p>
  </w:endnote>
  <w:endnote w:type="continuationSeparator" w:id="0">
    <w:p w:rsidR="00C931C9" w:rsidRDefault="00C931C9"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9532132"/>
      <w:docPartObj>
        <w:docPartGallery w:val="Page Numbers (Bottom of Page)"/>
        <w:docPartUnique/>
      </w:docPartObj>
    </w:sdtPr>
    <w:sdtEndPr/>
    <w:sdtContent>
      <w:p w:rsidR="00C52D8B" w:rsidRDefault="00C52D8B">
        <w:pPr>
          <w:pStyle w:val="a5"/>
          <w:jc w:val="right"/>
        </w:pPr>
        <w:r>
          <w:fldChar w:fldCharType="begin"/>
        </w:r>
        <w:r>
          <w:instrText>PAGE   \* MERGEFORMAT</w:instrText>
        </w:r>
        <w:r>
          <w:fldChar w:fldCharType="separate"/>
        </w:r>
        <w:r w:rsidR="00C00B02" w:rsidRPr="00C00B02">
          <w:rPr>
            <w:noProof/>
            <w:lang w:val="uk-UA"/>
          </w:rPr>
          <w:t>3</w:t>
        </w:r>
        <w:r>
          <w:fldChar w:fldCharType="end"/>
        </w:r>
      </w:p>
    </w:sdtContent>
  </w:sdt>
  <w:p w:rsidR="00C52D8B" w:rsidRDefault="00C52D8B">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320852"/>
      <w:docPartObj>
        <w:docPartGallery w:val="Page Numbers (Bottom of Page)"/>
        <w:docPartUnique/>
      </w:docPartObj>
    </w:sdtPr>
    <w:sdtEndPr/>
    <w:sdtContent>
      <w:p w:rsidR="00A7635E" w:rsidRDefault="00C931C9">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31C9" w:rsidRDefault="00C931C9" w:rsidP="005E306B">
      <w:pPr>
        <w:spacing w:after="0" w:line="240" w:lineRule="auto"/>
      </w:pPr>
      <w:r>
        <w:separator/>
      </w:r>
    </w:p>
  </w:footnote>
  <w:footnote w:type="continuationSeparator" w:id="0">
    <w:p w:rsidR="00C931C9" w:rsidRDefault="00C931C9"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C52D8B">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4"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52D8B">
          <w:pPr>
            <w:pStyle w:val="a3"/>
            <w:tabs>
              <w:tab w:val="clear" w:pos="4677"/>
              <w:tab w:val="clear" w:pos="9355"/>
            </w:tabs>
            <w:spacing w:before="160" w:after="60"/>
            <w:ind w:left="180" w:hanging="18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2338"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8"/>
      <w:gridCol w:w="9714"/>
      <w:gridCol w:w="1086"/>
    </w:tblGrid>
    <w:tr w:rsidR="00811821" w:rsidRPr="00053776" w:rsidTr="00C52D8B">
      <w:tc>
        <w:tcPr>
          <w:tcW w:w="1538"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4046F"/>
    <w:rsid w:val="00040C41"/>
    <w:rsid w:val="000F1586"/>
    <w:rsid w:val="00141617"/>
    <w:rsid w:val="0016670F"/>
    <w:rsid w:val="0019108F"/>
    <w:rsid w:val="0019231B"/>
    <w:rsid w:val="001966F0"/>
    <w:rsid w:val="001D3C24"/>
    <w:rsid w:val="001F1C20"/>
    <w:rsid w:val="0021032F"/>
    <w:rsid w:val="00235CD7"/>
    <w:rsid w:val="002A5D4C"/>
    <w:rsid w:val="002B5FC1"/>
    <w:rsid w:val="002C166E"/>
    <w:rsid w:val="002D0561"/>
    <w:rsid w:val="002E0A18"/>
    <w:rsid w:val="002E31BF"/>
    <w:rsid w:val="002E44DA"/>
    <w:rsid w:val="003778DD"/>
    <w:rsid w:val="003D0996"/>
    <w:rsid w:val="003D1CBA"/>
    <w:rsid w:val="00451750"/>
    <w:rsid w:val="004717F5"/>
    <w:rsid w:val="004852FA"/>
    <w:rsid w:val="004B5C92"/>
    <w:rsid w:val="004C53C1"/>
    <w:rsid w:val="004E4F5C"/>
    <w:rsid w:val="004F72D2"/>
    <w:rsid w:val="004F7B8A"/>
    <w:rsid w:val="00500CE7"/>
    <w:rsid w:val="00500FF8"/>
    <w:rsid w:val="005024E5"/>
    <w:rsid w:val="0050620F"/>
    <w:rsid w:val="00545919"/>
    <w:rsid w:val="0055005A"/>
    <w:rsid w:val="0056039F"/>
    <w:rsid w:val="0056352F"/>
    <w:rsid w:val="00592C72"/>
    <w:rsid w:val="005A4728"/>
    <w:rsid w:val="005B71F5"/>
    <w:rsid w:val="005C674D"/>
    <w:rsid w:val="005E306B"/>
    <w:rsid w:val="005F20B5"/>
    <w:rsid w:val="00611B8A"/>
    <w:rsid w:val="00626A3E"/>
    <w:rsid w:val="00660B13"/>
    <w:rsid w:val="0066623D"/>
    <w:rsid w:val="006F10E8"/>
    <w:rsid w:val="00713E93"/>
    <w:rsid w:val="00716CAF"/>
    <w:rsid w:val="0073224C"/>
    <w:rsid w:val="007A0252"/>
    <w:rsid w:val="007B31A3"/>
    <w:rsid w:val="007D2B6C"/>
    <w:rsid w:val="007F5D91"/>
    <w:rsid w:val="0080545D"/>
    <w:rsid w:val="00811821"/>
    <w:rsid w:val="0084269F"/>
    <w:rsid w:val="008D0011"/>
    <w:rsid w:val="008D7BBE"/>
    <w:rsid w:val="009449C1"/>
    <w:rsid w:val="00945B68"/>
    <w:rsid w:val="00957D31"/>
    <w:rsid w:val="00972232"/>
    <w:rsid w:val="009865D4"/>
    <w:rsid w:val="009A720A"/>
    <w:rsid w:val="00A00059"/>
    <w:rsid w:val="00A40BBA"/>
    <w:rsid w:val="00A60747"/>
    <w:rsid w:val="00A73B96"/>
    <w:rsid w:val="00A7635E"/>
    <w:rsid w:val="00A76A60"/>
    <w:rsid w:val="00A833C8"/>
    <w:rsid w:val="00AD7F82"/>
    <w:rsid w:val="00B311E8"/>
    <w:rsid w:val="00BA62CD"/>
    <w:rsid w:val="00BD0801"/>
    <w:rsid w:val="00BF1E95"/>
    <w:rsid w:val="00C00B02"/>
    <w:rsid w:val="00C11FB6"/>
    <w:rsid w:val="00C27AE9"/>
    <w:rsid w:val="00C434B6"/>
    <w:rsid w:val="00C52D8B"/>
    <w:rsid w:val="00C831D8"/>
    <w:rsid w:val="00C86266"/>
    <w:rsid w:val="00C92F3D"/>
    <w:rsid w:val="00C931C9"/>
    <w:rsid w:val="00CA3A1F"/>
    <w:rsid w:val="00CA7044"/>
    <w:rsid w:val="00CC39A1"/>
    <w:rsid w:val="00CD4A38"/>
    <w:rsid w:val="00CE3E1B"/>
    <w:rsid w:val="00CE6A4B"/>
    <w:rsid w:val="00CF7F78"/>
    <w:rsid w:val="00D22048"/>
    <w:rsid w:val="00D242C2"/>
    <w:rsid w:val="00D37FA2"/>
    <w:rsid w:val="00D403D0"/>
    <w:rsid w:val="00D52549"/>
    <w:rsid w:val="00D57E1B"/>
    <w:rsid w:val="00DF0115"/>
    <w:rsid w:val="00EA5881"/>
    <w:rsid w:val="00ED5A61"/>
    <w:rsid w:val="00EE50F6"/>
    <w:rsid w:val="00EF47E9"/>
    <w:rsid w:val="00F55423"/>
    <w:rsid w:val="00F91DD3"/>
    <w:rsid w:val="00FC3DF4"/>
    <w:rsid w:val="00FF3963"/>
    <w:rsid w:val="00FF79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BDB5E9C"/>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HTML">
    <w:name w:val="HTML Preformatted"/>
    <w:basedOn w:val="a"/>
    <w:link w:val="HTML0"/>
    <w:semiHidden/>
    <w:unhideWhenUsed/>
    <w:rsid w:val="00CA3A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lang w:eastAsia="ru-RU"/>
    </w:rPr>
  </w:style>
  <w:style w:type="character" w:customStyle="1" w:styleId="HTML0">
    <w:name w:val="Стандартний HTML Знак"/>
    <w:basedOn w:val="a0"/>
    <w:link w:val="HTML"/>
    <w:semiHidden/>
    <w:rsid w:val="00CA3A1F"/>
    <w:rPr>
      <w:rFonts w:ascii="Courier New" w:eastAsia="Times New Roman" w:hAnsi="Courier New" w:cs="Courier New"/>
      <w:color w:val="00000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2434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ips.ligazakon.net/document/view/t140079?ed=2014_12_28&amp;an=503"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BACD39-1EEF-4C2F-9CF4-796EFF907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4988</Words>
  <Characters>2844</Characters>
  <Application>Microsoft Office Word</Application>
  <DocSecurity>0</DocSecurity>
  <Lines>23</Lines>
  <Paragraphs>15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Марія Костянтинівна Криволап</cp:lastModifiedBy>
  <cp:revision>4</cp:revision>
  <cp:lastPrinted>2020-03-17T17:08:00Z</cp:lastPrinted>
  <dcterms:created xsi:type="dcterms:W3CDTF">2020-03-17T16:39:00Z</dcterms:created>
  <dcterms:modified xsi:type="dcterms:W3CDTF">2020-03-17T17:09:00Z</dcterms:modified>
</cp:coreProperties>
</file>