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FBE" w:rsidRPr="001D2D36" w:rsidRDefault="00F7668B" w:rsidP="00F10337">
      <w:pPr>
        <w:spacing w:after="0" w:line="276" w:lineRule="auto"/>
        <w:jc w:val="center"/>
        <w:rPr>
          <w:rFonts w:ascii="Times New Roman" w:hAnsi="Times New Roman" w:cs="Times New Roman"/>
          <w:b/>
          <w:sz w:val="28"/>
          <w:szCs w:val="28"/>
        </w:rPr>
      </w:pPr>
      <w:r w:rsidRPr="001D2D36">
        <w:rPr>
          <w:rFonts w:ascii="Times New Roman" w:hAnsi="Times New Roman" w:cs="Times New Roman"/>
          <w:b/>
          <w:sz w:val="28"/>
          <w:szCs w:val="28"/>
        </w:rPr>
        <w:t>ВИСНОВОК</w:t>
      </w:r>
    </w:p>
    <w:p w:rsidR="008A5974" w:rsidRPr="001D2D36" w:rsidRDefault="00F7668B" w:rsidP="00F10337">
      <w:pPr>
        <w:spacing w:after="0" w:line="276" w:lineRule="auto"/>
        <w:jc w:val="center"/>
        <w:rPr>
          <w:rFonts w:ascii="Times New Roman" w:hAnsi="Times New Roman" w:cs="Times New Roman"/>
          <w:b/>
          <w:sz w:val="28"/>
          <w:szCs w:val="28"/>
        </w:rPr>
      </w:pPr>
      <w:r w:rsidRPr="001D2D36">
        <w:rPr>
          <w:rFonts w:ascii="Times New Roman" w:hAnsi="Times New Roman" w:cs="Times New Roman"/>
          <w:b/>
          <w:sz w:val="28"/>
          <w:szCs w:val="28"/>
        </w:rPr>
        <w:t xml:space="preserve">Комітету Верховної Ради України з питань інтеграції України </w:t>
      </w:r>
    </w:p>
    <w:p w:rsidR="00F7668B" w:rsidRPr="001D2D36" w:rsidRDefault="00F7668B" w:rsidP="00F10337">
      <w:pPr>
        <w:spacing w:after="0" w:line="276" w:lineRule="auto"/>
        <w:jc w:val="center"/>
        <w:rPr>
          <w:rFonts w:ascii="Times New Roman" w:hAnsi="Times New Roman" w:cs="Times New Roman"/>
          <w:b/>
          <w:sz w:val="28"/>
          <w:szCs w:val="28"/>
        </w:rPr>
      </w:pPr>
      <w:r w:rsidRPr="001D2D36">
        <w:rPr>
          <w:rFonts w:ascii="Times New Roman" w:hAnsi="Times New Roman" w:cs="Times New Roman"/>
          <w:b/>
          <w:sz w:val="28"/>
          <w:szCs w:val="28"/>
        </w:rPr>
        <w:t>з Європейським Союзом</w:t>
      </w:r>
    </w:p>
    <w:p w:rsidR="00F7668B" w:rsidRPr="001D2D36" w:rsidRDefault="00F7668B" w:rsidP="00F10337">
      <w:pPr>
        <w:spacing w:after="0" w:line="276" w:lineRule="auto"/>
        <w:jc w:val="center"/>
        <w:rPr>
          <w:rFonts w:ascii="Times New Roman" w:hAnsi="Times New Roman" w:cs="Times New Roman"/>
          <w:b/>
          <w:sz w:val="28"/>
          <w:szCs w:val="28"/>
        </w:rPr>
      </w:pPr>
      <w:r w:rsidRPr="001D2D36">
        <w:rPr>
          <w:rFonts w:ascii="Times New Roman" w:hAnsi="Times New Roman" w:cs="Times New Roman"/>
          <w:b/>
          <w:sz w:val="28"/>
          <w:szCs w:val="28"/>
        </w:rPr>
        <w:t>щодо проекту Закону України</w:t>
      </w:r>
    </w:p>
    <w:p w:rsidR="00B96D39" w:rsidRPr="001D2D36" w:rsidRDefault="00230778" w:rsidP="00F10337">
      <w:pPr>
        <w:spacing w:after="0" w:line="276" w:lineRule="auto"/>
        <w:jc w:val="center"/>
        <w:rPr>
          <w:rFonts w:ascii="Times New Roman" w:hAnsi="Times New Roman" w:cs="Times New Roman"/>
          <w:b/>
          <w:sz w:val="28"/>
          <w:szCs w:val="28"/>
        </w:rPr>
      </w:pPr>
      <w:r w:rsidRPr="001D2D36">
        <w:rPr>
          <w:rFonts w:ascii="Times New Roman" w:hAnsi="Times New Roman" w:cs="Times New Roman"/>
          <w:b/>
          <w:sz w:val="28"/>
          <w:szCs w:val="28"/>
        </w:rPr>
        <w:t xml:space="preserve">про внесення змін до деяких законів України щодо </w:t>
      </w:r>
      <w:proofErr w:type="spellStart"/>
      <w:r w:rsidRPr="001D2D36">
        <w:rPr>
          <w:rFonts w:ascii="Times New Roman" w:hAnsi="Times New Roman" w:cs="Times New Roman"/>
          <w:b/>
          <w:sz w:val="28"/>
          <w:szCs w:val="28"/>
        </w:rPr>
        <w:t>конкуренційно</w:t>
      </w:r>
      <w:proofErr w:type="spellEnd"/>
      <w:r w:rsidRPr="001D2D36">
        <w:rPr>
          <w:rFonts w:ascii="Times New Roman" w:hAnsi="Times New Roman" w:cs="Times New Roman"/>
          <w:b/>
          <w:sz w:val="28"/>
          <w:szCs w:val="28"/>
        </w:rPr>
        <w:t>-антимонопольної реформи</w:t>
      </w:r>
    </w:p>
    <w:p w:rsidR="00F7668B" w:rsidRPr="001D2D36" w:rsidRDefault="00F7668B" w:rsidP="00F10337">
      <w:pPr>
        <w:spacing w:after="0" w:line="276" w:lineRule="auto"/>
        <w:jc w:val="center"/>
        <w:rPr>
          <w:rFonts w:ascii="Times New Roman" w:hAnsi="Times New Roman" w:cs="Times New Roman"/>
          <w:sz w:val="28"/>
          <w:szCs w:val="28"/>
        </w:rPr>
      </w:pPr>
      <w:r w:rsidRPr="001D2D36">
        <w:rPr>
          <w:rFonts w:ascii="Times New Roman" w:hAnsi="Times New Roman" w:cs="Times New Roman"/>
          <w:sz w:val="28"/>
          <w:szCs w:val="28"/>
        </w:rPr>
        <w:t xml:space="preserve">(реєстр. № </w:t>
      </w:r>
      <w:r w:rsidR="00E027B6" w:rsidRPr="001D2D36">
        <w:rPr>
          <w:rFonts w:ascii="Times New Roman" w:hAnsi="Times New Roman" w:cs="Times New Roman"/>
          <w:sz w:val="28"/>
          <w:szCs w:val="28"/>
        </w:rPr>
        <w:t>2730</w:t>
      </w:r>
      <w:r w:rsidR="00230778" w:rsidRPr="001D2D36">
        <w:rPr>
          <w:rFonts w:ascii="Times New Roman" w:hAnsi="Times New Roman" w:cs="Times New Roman"/>
          <w:sz w:val="28"/>
          <w:szCs w:val="28"/>
        </w:rPr>
        <w:t>-1</w:t>
      </w:r>
      <w:r w:rsidRPr="001D2D36">
        <w:rPr>
          <w:rFonts w:ascii="Times New Roman" w:hAnsi="Times New Roman" w:cs="Times New Roman"/>
          <w:sz w:val="28"/>
          <w:szCs w:val="28"/>
        </w:rPr>
        <w:t xml:space="preserve"> від </w:t>
      </w:r>
      <w:r w:rsidR="00230778" w:rsidRPr="001D2D36">
        <w:rPr>
          <w:rFonts w:ascii="Times New Roman" w:hAnsi="Times New Roman" w:cs="Times New Roman"/>
          <w:sz w:val="28"/>
          <w:szCs w:val="28"/>
        </w:rPr>
        <w:t>31</w:t>
      </w:r>
      <w:r w:rsidRPr="001D2D36">
        <w:rPr>
          <w:rFonts w:ascii="Times New Roman" w:hAnsi="Times New Roman" w:cs="Times New Roman"/>
          <w:sz w:val="28"/>
          <w:szCs w:val="28"/>
        </w:rPr>
        <w:t>.0</w:t>
      </w:r>
      <w:r w:rsidR="00E027B6" w:rsidRPr="001D2D36">
        <w:rPr>
          <w:rFonts w:ascii="Times New Roman" w:hAnsi="Times New Roman" w:cs="Times New Roman"/>
          <w:sz w:val="28"/>
          <w:szCs w:val="28"/>
        </w:rPr>
        <w:t>1</w:t>
      </w:r>
      <w:r w:rsidRPr="001D2D36">
        <w:rPr>
          <w:rFonts w:ascii="Times New Roman" w:hAnsi="Times New Roman" w:cs="Times New Roman"/>
          <w:sz w:val="28"/>
          <w:szCs w:val="28"/>
        </w:rPr>
        <w:t xml:space="preserve">.2020, </w:t>
      </w:r>
      <w:r w:rsidR="00230778" w:rsidRPr="001D2D36">
        <w:rPr>
          <w:rFonts w:ascii="Times New Roman" w:hAnsi="Times New Roman" w:cs="Times New Roman"/>
          <w:sz w:val="28"/>
          <w:szCs w:val="28"/>
        </w:rPr>
        <w:t>Павлюк М.В.</w:t>
      </w:r>
      <w:r w:rsidRPr="001D2D36">
        <w:rPr>
          <w:rFonts w:ascii="Times New Roman" w:hAnsi="Times New Roman" w:cs="Times New Roman"/>
          <w:sz w:val="28"/>
          <w:szCs w:val="28"/>
        </w:rPr>
        <w:t>)</w:t>
      </w:r>
    </w:p>
    <w:p w:rsidR="00B86E61" w:rsidRPr="001D2D36" w:rsidRDefault="00B86E61" w:rsidP="00F10337">
      <w:pPr>
        <w:spacing w:after="0" w:line="276" w:lineRule="auto"/>
        <w:jc w:val="both"/>
        <w:rPr>
          <w:rFonts w:ascii="Times New Roman" w:hAnsi="Times New Roman" w:cs="Times New Roman"/>
          <w:b/>
          <w:sz w:val="28"/>
          <w:szCs w:val="28"/>
        </w:rPr>
      </w:pPr>
    </w:p>
    <w:p w:rsidR="00F7668B" w:rsidRPr="001D2D36" w:rsidRDefault="00F7668B" w:rsidP="00F10337">
      <w:pPr>
        <w:spacing w:after="0" w:line="276" w:lineRule="auto"/>
        <w:ind w:firstLine="567"/>
        <w:jc w:val="both"/>
        <w:rPr>
          <w:rFonts w:ascii="Times New Roman" w:hAnsi="Times New Roman" w:cs="Times New Roman"/>
          <w:b/>
          <w:sz w:val="28"/>
          <w:szCs w:val="28"/>
        </w:rPr>
      </w:pPr>
      <w:r w:rsidRPr="001D2D36">
        <w:rPr>
          <w:rFonts w:ascii="Times New Roman" w:hAnsi="Times New Roman" w:cs="Times New Roman"/>
          <w:b/>
          <w:sz w:val="28"/>
          <w:szCs w:val="28"/>
        </w:rPr>
        <w:t>1. Загальна характеристика законопроекту</w:t>
      </w:r>
    </w:p>
    <w:p w:rsidR="00230778" w:rsidRPr="001D2D36" w:rsidRDefault="00230778" w:rsidP="00230778">
      <w:pPr>
        <w:spacing w:after="0" w:line="276" w:lineRule="auto"/>
        <w:ind w:firstLine="567"/>
        <w:jc w:val="both"/>
        <w:rPr>
          <w:rFonts w:ascii="Times New Roman" w:hAnsi="Times New Roman" w:cs="Times New Roman"/>
          <w:sz w:val="28"/>
          <w:szCs w:val="28"/>
        </w:rPr>
      </w:pPr>
      <w:r w:rsidRPr="001D2D36">
        <w:rPr>
          <w:rFonts w:ascii="Times New Roman" w:hAnsi="Times New Roman" w:cs="Times New Roman"/>
          <w:sz w:val="28"/>
          <w:szCs w:val="28"/>
        </w:rPr>
        <w:t>Метою законопроекту, як зазначено в пояснювальній записці до нього, є гармонізація вітчизняного законодавства у сфері  діяльності державної системи розвитку та захисту конкуренції, зокрема функцій Антимонопольного комітету України з Регламентом Ради (ЄС) № 139/2004 від 20 січня 2004 року про контроль над концентрацією суб’єктів господарювання та акти щодо їх імплементації і такі, що вносять до них зміни і доповнення.</w:t>
      </w:r>
    </w:p>
    <w:p w:rsidR="00230778" w:rsidRPr="001D2D36" w:rsidRDefault="00230778" w:rsidP="00230778">
      <w:pPr>
        <w:spacing w:after="0" w:line="276" w:lineRule="auto"/>
        <w:ind w:firstLine="567"/>
        <w:jc w:val="both"/>
        <w:rPr>
          <w:rFonts w:ascii="Times New Roman" w:hAnsi="Times New Roman" w:cs="Times New Roman"/>
          <w:sz w:val="28"/>
          <w:szCs w:val="28"/>
        </w:rPr>
      </w:pPr>
      <w:r w:rsidRPr="001D2D36">
        <w:rPr>
          <w:rFonts w:ascii="Times New Roman" w:hAnsi="Times New Roman" w:cs="Times New Roman"/>
          <w:sz w:val="28"/>
          <w:szCs w:val="28"/>
        </w:rPr>
        <w:t xml:space="preserve">Метою законопроекту є також підвищення прозорості та ефективності діяльності Антимонопольного комітету України шляхом: </w:t>
      </w:r>
    </w:p>
    <w:p w:rsidR="00230778" w:rsidRPr="001D2D36" w:rsidRDefault="00230778" w:rsidP="00230778">
      <w:pPr>
        <w:spacing w:after="0" w:line="276" w:lineRule="auto"/>
        <w:ind w:firstLine="567"/>
        <w:jc w:val="both"/>
        <w:rPr>
          <w:rFonts w:ascii="Times New Roman" w:hAnsi="Times New Roman" w:cs="Times New Roman"/>
          <w:sz w:val="28"/>
          <w:szCs w:val="28"/>
        </w:rPr>
      </w:pPr>
      <w:r w:rsidRPr="001D2D36">
        <w:rPr>
          <w:rFonts w:ascii="Times New Roman" w:hAnsi="Times New Roman" w:cs="Times New Roman"/>
          <w:sz w:val="28"/>
          <w:szCs w:val="28"/>
        </w:rPr>
        <w:t xml:space="preserve">- реформування системи притягнення до відповідальності за </w:t>
      </w:r>
      <w:proofErr w:type="spellStart"/>
      <w:r w:rsidRPr="001D2D36">
        <w:rPr>
          <w:rFonts w:ascii="Times New Roman" w:hAnsi="Times New Roman" w:cs="Times New Roman"/>
          <w:sz w:val="28"/>
          <w:szCs w:val="28"/>
        </w:rPr>
        <w:t>антиконкурент</w:t>
      </w:r>
      <w:r w:rsidR="0006748B">
        <w:rPr>
          <w:rFonts w:ascii="Times New Roman" w:hAnsi="Times New Roman" w:cs="Times New Roman"/>
          <w:sz w:val="28"/>
          <w:szCs w:val="28"/>
        </w:rPr>
        <w:t>н</w:t>
      </w:r>
      <w:r w:rsidRPr="001D2D36">
        <w:rPr>
          <w:rFonts w:ascii="Times New Roman" w:hAnsi="Times New Roman" w:cs="Times New Roman"/>
          <w:sz w:val="28"/>
          <w:szCs w:val="28"/>
        </w:rPr>
        <w:t>і</w:t>
      </w:r>
      <w:proofErr w:type="spellEnd"/>
      <w:r w:rsidRPr="001D2D36">
        <w:rPr>
          <w:rFonts w:ascii="Times New Roman" w:hAnsi="Times New Roman" w:cs="Times New Roman"/>
          <w:sz w:val="28"/>
          <w:szCs w:val="28"/>
        </w:rPr>
        <w:t xml:space="preserve"> узгоджені дії; </w:t>
      </w:r>
    </w:p>
    <w:p w:rsidR="00230778" w:rsidRPr="001D2D36" w:rsidRDefault="00230778" w:rsidP="00230778">
      <w:pPr>
        <w:spacing w:after="0" w:line="276" w:lineRule="auto"/>
        <w:ind w:firstLine="567"/>
        <w:jc w:val="both"/>
        <w:rPr>
          <w:rFonts w:ascii="Times New Roman" w:hAnsi="Times New Roman" w:cs="Times New Roman"/>
          <w:sz w:val="28"/>
          <w:szCs w:val="28"/>
        </w:rPr>
      </w:pPr>
      <w:r w:rsidRPr="001D2D36">
        <w:rPr>
          <w:rFonts w:ascii="Times New Roman" w:hAnsi="Times New Roman" w:cs="Times New Roman"/>
          <w:sz w:val="28"/>
          <w:szCs w:val="28"/>
        </w:rPr>
        <w:t>-</w:t>
      </w:r>
      <w:r w:rsidRPr="001D2D36">
        <w:rPr>
          <w:rFonts w:ascii="Times New Roman" w:hAnsi="Times New Roman" w:cs="Times New Roman"/>
          <w:sz w:val="28"/>
          <w:szCs w:val="28"/>
        </w:rPr>
        <w:tab/>
        <w:t>зміни механізму розрахунку обсягів реалізації товарів учасників концентрації у межах однієї групи суб’єктів господарювання, пов’язаних відносинами контролю;</w:t>
      </w:r>
    </w:p>
    <w:p w:rsidR="00230778" w:rsidRPr="001D2D36" w:rsidRDefault="00230778" w:rsidP="00230778">
      <w:pPr>
        <w:spacing w:after="0" w:line="276" w:lineRule="auto"/>
        <w:ind w:firstLine="567"/>
        <w:jc w:val="both"/>
        <w:rPr>
          <w:rFonts w:ascii="Times New Roman" w:hAnsi="Times New Roman" w:cs="Times New Roman"/>
          <w:sz w:val="28"/>
          <w:szCs w:val="28"/>
        </w:rPr>
      </w:pPr>
      <w:r w:rsidRPr="001D2D36">
        <w:rPr>
          <w:rFonts w:ascii="Times New Roman" w:hAnsi="Times New Roman" w:cs="Times New Roman"/>
          <w:sz w:val="28"/>
          <w:szCs w:val="28"/>
        </w:rPr>
        <w:t>-</w:t>
      </w:r>
      <w:r w:rsidRPr="001D2D36">
        <w:rPr>
          <w:rFonts w:ascii="Times New Roman" w:hAnsi="Times New Roman" w:cs="Times New Roman"/>
          <w:sz w:val="28"/>
          <w:szCs w:val="28"/>
        </w:rPr>
        <w:tab/>
        <w:t>перегляд форм контролю над суб’єктом господарювання (зокрема, через  призначення керівних осіб);</w:t>
      </w:r>
    </w:p>
    <w:p w:rsidR="00230778" w:rsidRPr="001D2D36" w:rsidRDefault="00230778" w:rsidP="00230778">
      <w:pPr>
        <w:spacing w:after="0" w:line="276" w:lineRule="auto"/>
        <w:ind w:firstLine="567"/>
        <w:jc w:val="both"/>
        <w:rPr>
          <w:rFonts w:ascii="Times New Roman" w:hAnsi="Times New Roman" w:cs="Times New Roman"/>
          <w:sz w:val="28"/>
          <w:szCs w:val="28"/>
        </w:rPr>
      </w:pPr>
      <w:r w:rsidRPr="001D2D36">
        <w:rPr>
          <w:rFonts w:ascii="Times New Roman" w:hAnsi="Times New Roman" w:cs="Times New Roman"/>
          <w:sz w:val="28"/>
          <w:szCs w:val="28"/>
        </w:rPr>
        <w:t>-</w:t>
      </w:r>
      <w:r w:rsidRPr="001D2D36">
        <w:rPr>
          <w:rFonts w:ascii="Times New Roman" w:hAnsi="Times New Roman" w:cs="Times New Roman"/>
          <w:sz w:val="28"/>
          <w:szCs w:val="28"/>
        </w:rPr>
        <w:tab/>
        <w:t>приведення у відповідність порогових значень, що використовуються для визнання суб’єкта господарювання таким, що займає монопольне (домінуюче) становище на ринку товару;</w:t>
      </w:r>
    </w:p>
    <w:p w:rsidR="0005024F" w:rsidRPr="001D2D36" w:rsidRDefault="00230778" w:rsidP="00230778">
      <w:pPr>
        <w:spacing w:after="0" w:line="276" w:lineRule="auto"/>
        <w:ind w:firstLine="567"/>
        <w:jc w:val="both"/>
        <w:rPr>
          <w:rFonts w:ascii="Times New Roman" w:hAnsi="Times New Roman" w:cs="Times New Roman"/>
          <w:sz w:val="28"/>
          <w:szCs w:val="28"/>
        </w:rPr>
      </w:pPr>
      <w:r w:rsidRPr="001D2D36">
        <w:rPr>
          <w:rFonts w:ascii="Times New Roman" w:hAnsi="Times New Roman" w:cs="Times New Roman"/>
          <w:sz w:val="28"/>
          <w:szCs w:val="28"/>
        </w:rPr>
        <w:t>-</w:t>
      </w:r>
      <w:r w:rsidRPr="001D2D36">
        <w:rPr>
          <w:rFonts w:ascii="Times New Roman" w:hAnsi="Times New Roman" w:cs="Times New Roman"/>
          <w:sz w:val="28"/>
          <w:szCs w:val="28"/>
        </w:rPr>
        <w:tab/>
        <w:t xml:space="preserve"> посилення прав і гарантій суб’єктів господарювання, щодо яких проводиться розслідування щодо порушення законодавства про захист економічної конкуренції та ін.</w:t>
      </w:r>
    </w:p>
    <w:p w:rsidR="00230778" w:rsidRPr="001D2D36" w:rsidRDefault="00230778" w:rsidP="00230778">
      <w:pPr>
        <w:spacing w:after="0" w:line="276" w:lineRule="auto"/>
        <w:ind w:firstLine="567"/>
        <w:jc w:val="both"/>
        <w:rPr>
          <w:rFonts w:ascii="Times New Roman" w:hAnsi="Times New Roman" w:cs="Times New Roman"/>
          <w:b/>
          <w:sz w:val="28"/>
          <w:szCs w:val="28"/>
        </w:rPr>
      </w:pPr>
    </w:p>
    <w:p w:rsidR="00F7668B" w:rsidRPr="001D2D36" w:rsidRDefault="00F7668B" w:rsidP="00F10337">
      <w:pPr>
        <w:spacing w:after="0" w:line="276" w:lineRule="auto"/>
        <w:ind w:firstLine="567"/>
        <w:jc w:val="both"/>
        <w:rPr>
          <w:rFonts w:ascii="Times New Roman" w:hAnsi="Times New Roman" w:cs="Times New Roman"/>
          <w:b/>
          <w:sz w:val="28"/>
          <w:szCs w:val="28"/>
        </w:rPr>
      </w:pPr>
      <w:r w:rsidRPr="001D2D36">
        <w:rPr>
          <w:rFonts w:ascii="Times New Roman" w:hAnsi="Times New Roman" w:cs="Times New Roman"/>
          <w:b/>
          <w:sz w:val="28"/>
          <w:szCs w:val="28"/>
        </w:rPr>
        <w:t>2. Належність законопроекту за предметом правового регулювання до сфери дії права Європейського Союзу</w:t>
      </w:r>
    </w:p>
    <w:p w:rsidR="00B87CF7" w:rsidRPr="001D2D36" w:rsidRDefault="00F7668B" w:rsidP="00F10337">
      <w:pPr>
        <w:spacing w:after="0" w:line="276" w:lineRule="auto"/>
        <w:ind w:firstLine="567"/>
        <w:jc w:val="both"/>
        <w:rPr>
          <w:rFonts w:ascii="Times New Roman" w:hAnsi="Times New Roman" w:cs="Times New Roman"/>
          <w:sz w:val="28"/>
          <w:szCs w:val="28"/>
        </w:rPr>
      </w:pPr>
      <w:r w:rsidRPr="001D2D36">
        <w:rPr>
          <w:rFonts w:ascii="Times New Roman" w:hAnsi="Times New Roman" w:cs="Times New Roman"/>
          <w:sz w:val="28"/>
          <w:szCs w:val="28"/>
        </w:rPr>
        <w:t xml:space="preserve">Проект Закону за предметом правового регулювання </w:t>
      </w:r>
      <w:r w:rsidR="0005024F" w:rsidRPr="001D2D36">
        <w:rPr>
          <w:rFonts w:ascii="Times New Roman" w:hAnsi="Times New Roman" w:cs="Times New Roman"/>
          <w:sz w:val="28"/>
          <w:szCs w:val="28"/>
        </w:rPr>
        <w:t xml:space="preserve">належить до сфери </w:t>
      </w:r>
      <w:r w:rsidR="00E027B6" w:rsidRPr="001D2D36">
        <w:rPr>
          <w:rFonts w:ascii="Times New Roman" w:hAnsi="Times New Roman" w:cs="Times New Roman"/>
          <w:sz w:val="28"/>
          <w:szCs w:val="28"/>
        </w:rPr>
        <w:t>правил конкуренції</w:t>
      </w:r>
      <w:r w:rsidR="0005024F" w:rsidRPr="001D2D36">
        <w:rPr>
          <w:rFonts w:ascii="Times New Roman" w:hAnsi="Times New Roman" w:cs="Times New Roman"/>
          <w:sz w:val="28"/>
          <w:szCs w:val="28"/>
        </w:rPr>
        <w:t xml:space="preserve">, що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1629-IV належить до пріоритетних сфер, в яких здійснюється адаптація законодавства України до законодавства Європейського Союзу та охоплюється зобов’язаннями України передбаченими у рамках </w:t>
      </w:r>
      <w:r w:rsidR="00CC0119" w:rsidRPr="001D2D36">
        <w:rPr>
          <w:rFonts w:ascii="Times New Roman" w:hAnsi="Times New Roman" w:cs="Times New Roman"/>
          <w:sz w:val="28"/>
          <w:szCs w:val="28"/>
        </w:rPr>
        <w:t>Глави 1</w:t>
      </w:r>
      <w:r w:rsidR="00E027B6" w:rsidRPr="001D2D36">
        <w:rPr>
          <w:rFonts w:ascii="Times New Roman" w:hAnsi="Times New Roman" w:cs="Times New Roman"/>
          <w:sz w:val="28"/>
          <w:szCs w:val="28"/>
        </w:rPr>
        <w:t>0</w:t>
      </w:r>
      <w:r w:rsidR="00CC0119" w:rsidRPr="001D2D36">
        <w:rPr>
          <w:rFonts w:ascii="Times New Roman" w:hAnsi="Times New Roman" w:cs="Times New Roman"/>
          <w:sz w:val="28"/>
          <w:szCs w:val="28"/>
        </w:rPr>
        <w:t xml:space="preserve"> «</w:t>
      </w:r>
      <w:r w:rsidR="00E027B6" w:rsidRPr="001D2D36">
        <w:rPr>
          <w:rFonts w:ascii="Times New Roman" w:hAnsi="Times New Roman" w:cs="Times New Roman"/>
          <w:sz w:val="28"/>
          <w:szCs w:val="28"/>
        </w:rPr>
        <w:t>Конкуренція</w:t>
      </w:r>
      <w:r w:rsidR="00CC0119" w:rsidRPr="001D2D36">
        <w:rPr>
          <w:rFonts w:ascii="Times New Roman" w:hAnsi="Times New Roman" w:cs="Times New Roman"/>
          <w:sz w:val="28"/>
          <w:szCs w:val="28"/>
        </w:rPr>
        <w:t xml:space="preserve">» </w:t>
      </w:r>
      <w:r w:rsidR="00636F8F" w:rsidRPr="001D2D36">
        <w:rPr>
          <w:rFonts w:ascii="Times New Roman" w:hAnsi="Times New Roman" w:cs="Times New Roman"/>
          <w:sz w:val="28"/>
          <w:szCs w:val="28"/>
        </w:rPr>
        <w:t xml:space="preserve">Розділу </w:t>
      </w:r>
      <w:r w:rsidR="0037221D" w:rsidRPr="001D2D36">
        <w:rPr>
          <w:rFonts w:ascii="Times New Roman" w:hAnsi="Times New Roman" w:cs="Times New Roman"/>
          <w:sz w:val="28"/>
          <w:szCs w:val="28"/>
        </w:rPr>
        <w:t>І</w:t>
      </w:r>
      <w:r w:rsidR="00636F8F" w:rsidRPr="001D2D36">
        <w:rPr>
          <w:rFonts w:ascii="Times New Roman" w:hAnsi="Times New Roman" w:cs="Times New Roman"/>
          <w:sz w:val="28"/>
          <w:szCs w:val="28"/>
        </w:rPr>
        <w:t>V «</w:t>
      </w:r>
      <w:r w:rsidR="0037221D" w:rsidRPr="001D2D36">
        <w:rPr>
          <w:rFonts w:ascii="Times New Roman" w:hAnsi="Times New Roman" w:cs="Times New Roman"/>
          <w:sz w:val="28"/>
          <w:szCs w:val="28"/>
        </w:rPr>
        <w:t xml:space="preserve">Торгівля і питання, пов’язані з </w:t>
      </w:r>
      <w:r w:rsidR="0037221D" w:rsidRPr="001D2D36">
        <w:rPr>
          <w:rFonts w:ascii="Times New Roman" w:hAnsi="Times New Roman" w:cs="Times New Roman"/>
          <w:sz w:val="28"/>
          <w:szCs w:val="28"/>
        </w:rPr>
        <w:lastRenderedPageBreak/>
        <w:t>торгівлею</w:t>
      </w:r>
      <w:r w:rsidR="00636F8F" w:rsidRPr="001D2D36">
        <w:rPr>
          <w:rFonts w:ascii="Times New Roman" w:hAnsi="Times New Roman" w:cs="Times New Roman"/>
          <w:sz w:val="28"/>
          <w:szCs w:val="28"/>
        </w:rPr>
        <w:t xml:space="preserve">» </w:t>
      </w:r>
      <w:r w:rsidR="008D4F02" w:rsidRPr="001D2D36">
        <w:rPr>
          <w:rFonts w:ascii="Times New Roman" w:hAnsi="Times New Roman" w:cs="Times New Roman"/>
          <w:sz w:val="28"/>
          <w:szCs w:val="28"/>
        </w:rPr>
        <w:t xml:space="preserve">Угоди </w:t>
      </w:r>
      <w:r w:rsidR="00285458" w:rsidRPr="001D2D36">
        <w:rPr>
          <w:rFonts w:ascii="Times New Roman" w:hAnsi="Times New Roman" w:cs="Times New Roman"/>
          <w:sz w:val="28"/>
          <w:szCs w:val="28"/>
        </w:rPr>
        <w:t>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8D4F02" w:rsidRPr="001D2D36">
        <w:rPr>
          <w:rFonts w:ascii="Times New Roman" w:hAnsi="Times New Roman" w:cs="Times New Roman"/>
          <w:sz w:val="28"/>
          <w:szCs w:val="28"/>
        </w:rPr>
        <w:t xml:space="preserve"> (далі – Угода про асоціацію).</w:t>
      </w:r>
    </w:p>
    <w:p w:rsidR="004F5AE0" w:rsidRPr="001D2D36" w:rsidRDefault="004F5AE0" w:rsidP="00F10337">
      <w:pPr>
        <w:spacing w:after="0" w:line="276" w:lineRule="auto"/>
        <w:ind w:firstLine="567"/>
        <w:jc w:val="both"/>
        <w:rPr>
          <w:rFonts w:ascii="Times New Roman" w:hAnsi="Times New Roman" w:cs="Times New Roman"/>
          <w:b/>
          <w:sz w:val="28"/>
          <w:szCs w:val="28"/>
        </w:rPr>
      </w:pPr>
    </w:p>
    <w:p w:rsidR="008D4F02" w:rsidRPr="001D2D36" w:rsidRDefault="008D4F02" w:rsidP="00F10337">
      <w:pPr>
        <w:spacing w:after="0" w:line="276" w:lineRule="auto"/>
        <w:ind w:firstLine="567"/>
        <w:jc w:val="both"/>
        <w:rPr>
          <w:rFonts w:ascii="Times New Roman" w:hAnsi="Times New Roman" w:cs="Times New Roman"/>
          <w:b/>
          <w:sz w:val="28"/>
          <w:szCs w:val="28"/>
        </w:rPr>
      </w:pPr>
      <w:r w:rsidRPr="001D2D36">
        <w:rPr>
          <w:rFonts w:ascii="Times New Roman" w:hAnsi="Times New Roman" w:cs="Times New Roman"/>
          <w:b/>
          <w:sz w:val="28"/>
          <w:szCs w:val="28"/>
        </w:rPr>
        <w:t>3. Відповідність законопроекту праву ЄС</w:t>
      </w:r>
    </w:p>
    <w:p w:rsidR="00230778" w:rsidRPr="001D2D36" w:rsidRDefault="00230778" w:rsidP="00F10337">
      <w:pPr>
        <w:snapToGrid w:val="0"/>
        <w:spacing w:after="0" w:line="276" w:lineRule="auto"/>
        <w:ind w:firstLine="567"/>
        <w:jc w:val="both"/>
        <w:rPr>
          <w:rFonts w:ascii="Times New Roman" w:eastAsia="Times New Roman" w:hAnsi="Times New Roman" w:cs="Times New Roman"/>
          <w:sz w:val="28"/>
          <w:szCs w:val="28"/>
          <w:lang w:eastAsia="ru-RU"/>
        </w:rPr>
      </w:pPr>
      <w:r w:rsidRPr="001D2D36">
        <w:rPr>
          <w:rFonts w:ascii="Times New Roman" w:eastAsia="Times New Roman" w:hAnsi="Times New Roman" w:cs="Times New Roman"/>
          <w:sz w:val="28"/>
          <w:szCs w:val="28"/>
          <w:lang w:eastAsia="ru-RU"/>
        </w:rPr>
        <w:t xml:space="preserve">До головних відмінностей альтернативного проекту від проекту № 2730 належить відсутність в ньому положень про: Комісію (Комісії) з розгляду скарг про порушення законодавства у сфері публічних закупівель;  особливості призначення Голови, державного уповноваженого АМКУ; звільнення учасника </w:t>
      </w:r>
      <w:proofErr w:type="spellStart"/>
      <w:r w:rsidRPr="001D2D36">
        <w:rPr>
          <w:rFonts w:ascii="Times New Roman" w:eastAsia="Times New Roman" w:hAnsi="Times New Roman" w:cs="Times New Roman"/>
          <w:sz w:val="28"/>
          <w:szCs w:val="28"/>
          <w:lang w:eastAsia="ru-RU"/>
        </w:rPr>
        <w:t>антиконкурентних</w:t>
      </w:r>
      <w:proofErr w:type="spellEnd"/>
      <w:r w:rsidRPr="001D2D36">
        <w:rPr>
          <w:rFonts w:ascii="Times New Roman" w:eastAsia="Times New Roman" w:hAnsi="Times New Roman" w:cs="Times New Roman"/>
          <w:sz w:val="28"/>
          <w:szCs w:val="28"/>
          <w:lang w:eastAsia="ru-RU"/>
        </w:rPr>
        <w:t xml:space="preserve">  узгоджених дій від відповідальності, врегулювання спору у справах про порушення </w:t>
      </w:r>
      <w:proofErr w:type="spellStart"/>
      <w:r w:rsidRPr="001D2D36">
        <w:rPr>
          <w:rFonts w:ascii="Times New Roman" w:eastAsia="Times New Roman" w:hAnsi="Times New Roman" w:cs="Times New Roman"/>
          <w:sz w:val="28"/>
          <w:szCs w:val="28"/>
          <w:lang w:eastAsia="ru-RU"/>
        </w:rPr>
        <w:t>конкуренційного</w:t>
      </w:r>
      <w:proofErr w:type="spellEnd"/>
      <w:r w:rsidRPr="001D2D36">
        <w:rPr>
          <w:rFonts w:ascii="Times New Roman" w:eastAsia="Times New Roman" w:hAnsi="Times New Roman" w:cs="Times New Roman"/>
          <w:sz w:val="28"/>
          <w:szCs w:val="28"/>
          <w:lang w:eastAsia="ru-RU"/>
        </w:rPr>
        <w:t xml:space="preserve"> законодавства.</w:t>
      </w:r>
    </w:p>
    <w:p w:rsidR="006C2167" w:rsidRPr="001D2D36" w:rsidRDefault="006C2167" w:rsidP="00F10337">
      <w:pPr>
        <w:snapToGrid w:val="0"/>
        <w:spacing w:after="0" w:line="276" w:lineRule="auto"/>
        <w:ind w:firstLine="567"/>
        <w:jc w:val="both"/>
        <w:rPr>
          <w:rFonts w:ascii="Times New Roman" w:eastAsia="Times New Roman" w:hAnsi="Times New Roman" w:cs="Times New Roman"/>
          <w:sz w:val="28"/>
          <w:szCs w:val="28"/>
          <w:lang w:eastAsia="ru-RU"/>
        </w:rPr>
      </w:pPr>
      <w:r w:rsidRPr="001D2D36">
        <w:rPr>
          <w:rFonts w:ascii="Times New Roman" w:eastAsia="Times New Roman" w:hAnsi="Times New Roman" w:cs="Times New Roman"/>
          <w:sz w:val="28"/>
          <w:szCs w:val="28"/>
          <w:lang w:eastAsia="ru-RU"/>
        </w:rPr>
        <w:t xml:space="preserve">За результатами правового аналізу проекту Закону щодо його відповідності </w:t>
      </w:r>
      <w:proofErr w:type="spellStart"/>
      <w:r w:rsidRPr="001D2D36">
        <w:rPr>
          <w:rFonts w:ascii="Times New Roman" w:eastAsia="Times New Roman" w:hAnsi="Times New Roman" w:cs="Times New Roman"/>
          <w:sz w:val="28"/>
          <w:szCs w:val="28"/>
          <w:lang w:eastAsia="ru-RU"/>
        </w:rPr>
        <w:t>aquis</w:t>
      </w:r>
      <w:proofErr w:type="spellEnd"/>
      <w:r w:rsidRPr="001D2D36">
        <w:rPr>
          <w:rFonts w:ascii="Times New Roman" w:eastAsia="Times New Roman" w:hAnsi="Times New Roman" w:cs="Times New Roman"/>
          <w:sz w:val="28"/>
          <w:szCs w:val="28"/>
          <w:lang w:eastAsia="ru-RU"/>
        </w:rPr>
        <w:t xml:space="preserve"> ЄС та Угоді про асоціацію слід зазначити таке.</w:t>
      </w:r>
    </w:p>
    <w:p w:rsidR="00CC0119" w:rsidRPr="001D2D36" w:rsidRDefault="00CC0119" w:rsidP="00F10337">
      <w:pPr>
        <w:snapToGrid w:val="0"/>
        <w:spacing w:after="0" w:line="276" w:lineRule="auto"/>
        <w:ind w:firstLine="567"/>
        <w:jc w:val="both"/>
        <w:rPr>
          <w:rFonts w:ascii="Times New Roman" w:eastAsia="Times New Roman" w:hAnsi="Times New Roman" w:cs="Times New Roman"/>
          <w:sz w:val="28"/>
          <w:szCs w:val="28"/>
          <w:lang w:eastAsia="ru-RU"/>
        </w:rPr>
      </w:pPr>
      <w:r w:rsidRPr="001D2D36">
        <w:rPr>
          <w:rFonts w:ascii="Times New Roman" w:eastAsia="Times New Roman" w:hAnsi="Times New Roman" w:cs="Times New Roman"/>
          <w:sz w:val="28"/>
          <w:szCs w:val="28"/>
          <w:lang w:eastAsia="ru-RU"/>
        </w:rPr>
        <w:t xml:space="preserve">Згідно з положеннями статті </w:t>
      </w:r>
      <w:r w:rsidR="0037221D" w:rsidRPr="001D2D36">
        <w:rPr>
          <w:rFonts w:ascii="Times New Roman" w:eastAsia="Times New Roman" w:hAnsi="Times New Roman" w:cs="Times New Roman"/>
          <w:sz w:val="28"/>
          <w:szCs w:val="28"/>
          <w:lang w:eastAsia="ru-RU"/>
        </w:rPr>
        <w:t>255 Угоди про асоціацію, Україна та Сторона ЄС забезпечують застосування законодавства про конкуренцію, яке ефективно протидіє діям та операціям, зазначеним у статті 254</w:t>
      </w:r>
      <w:r w:rsidR="004B55FE" w:rsidRPr="001D2D36">
        <w:rPr>
          <w:rFonts w:ascii="Times New Roman" w:eastAsia="Times New Roman" w:hAnsi="Times New Roman" w:cs="Times New Roman"/>
          <w:sz w:val="28"/>
          <w:szCs w:val="28"/>
          <w:lang w:eastAsia="ru-RU"/>
        </w:rPr>
        <w:t xml:space="preserve"> </w:t>
      </w:r>
      <w:r w:rsidR="0037221D" w:rsidRPr="001D2D36">
        <w:rPr>
          <w:rFonts w:ascii="Times New Roman" w:eastAsia="Times New Roman" w:hAnsi="Times New Roman" w:cs="Times New Roman"/>
          <w:sz w:val="28"/>
          <w:szCs w:val="28"/>
          <w:lang w:eastAsia="ru-RU"/>
        </w:rPr>
        <w:t>(a) (b) та (c).</w:t>
      </w:r>
    </w:p>
    <w:p w:rsidR="0037221D" w:rsidRPr="001D2D36" w:rsidRDefault="00636F8F" w:rsidP="00F10337">
      <w:pPr>
        <w:snapToGrid w:val="0"/>
        <w:spacing w:after="0" w:line="276" w:lineRule="auto"/>
        <w:ind w:firstLine="567"/>
        <w:jc w:val="both"/>
        <w:rPr>
          <w:rFonts w:ascii="Times New Roman" w:eastAsia="Times New Roman" w:hAnsi="Times New Roman" w:cs="Times New Roman"/>
          <w:sz w:val="28"/>
          <w:szCs w:val="28"/>
          <w:lang w:eastAsia="ru-RU"/>
        </w:rPr>
      </w:pPr>
      <w:r w:rsidRPr="001D2D36">
        <w:rPr>
          <w:rFonts w:ascii="Times New Roman" w:eastAsia="Times New Roman" w:hAnsi="Times New Roman" w:cs="Times New Roman"/>
          <w:sz w:val="28"/>
          <w:szCs w:val="28"/>
          <w:lang w:eastAsia="ru-RU"/>
        </w:rPr>
        <w:t xml:space="preserve">Відповідно до статті </w:t>
      </w:r>
      <w:r w:rsidR="0037221D" w:rsidRPr="001D2D36">
        <w:rPr>
          <w:rFonts w:ascii="Times New Roman" w:eastAsia="Times New Roman" w:hAnsi="Times New Roman" w:cs="Times New Roman"/>
          <w:sz w:val="28"/>
          <w:szCs w:val="28"/>
          <w:lang w:eastAsia="ru-RU"/>
        </w:rPr>
        <w:t>256</w:t>
      </w:r>
      <w:r w:rsidRPr="001D2D36">
        <w:rPr>
          <w:rFonts w:ascii="Times New Roman" w:eastAsia="Times New Roman" w:hAnsi="Times New Roman" w:cs="Times New Roman"/>
          <w:sz w:val="28"/>
          <w:szCs w:val="28"/>
          <w:lang w:eastAsia="ru-RU"/>
        </w:rPr>
        <w:t xml:space="preserve"> Угоди про асоціацію, </w:t>
      </w:r>
      <w:r w:rsidR="0037221D" w:rsidRPr="001D2D36">
        <w:rPr>
          <w:rFonts w:ascii="Times New Roman" w:eastAsia="Times New Roman" w:hAnsi="Times New Roman" w:cs="Times New Roman"/>
          <w:sz w:val="28"/>
          <w:szCs w:val="28"/>
          <w:lang w:eastAsia="ru-RU"/>
        </w:rPr>
        <w:t xml:space="preserve">Україна наближує своє законодавство про конкуренцію та практику застосування до </w:t>
      </w:r>
      <w:proofErr w:type="spellStart"/>
      <w:r w:rsidR="0037221D" w:rsidRPr="001D2D36">
        <w:rPr>
          <w:rFonts w:ascii="Times New Roman" w:eastAsia="Times New Roman" w:hAnsi="Times New Roman" w:cs="Times New Roman"/>
          <w:sz w:val="28"/>
          <w:szCs w:val="28"/>
          <w:lang w:eastAsia="ru-RU"/>
        </w:rPr>
        <w:t>acquis</w:t>
      </w:r>
      <w:proofErr w:type="spellEnd"/>
      <w:r w:rsidR="0037221D" w:rsidRPr="001D2D36">
        <w:rPr>
          <w:rFonts w:ascii="Times New Roman" w:eastAsia="Times New Roman" w:hAnsi="Times New Roman" w:cs="Times New Roman"/>
          <w:sz w:val="28"/>
          <w:szCs w:val="28"/>
          <w:lang w:eastAsia="ru-RU"/>
        </w:rPr>
        <w:t xml:space="preserve"> ЄС, зокрема</w:t>
      </w:r>
      <w:r w:rsidR="001D2D36">
        <w:rPr>
          <w:rFonts w:ascii="Times New Roman" w:eastAsia="Times New Roman" w:hAnsi="Times New Roman" w:cs="Times New Roman"/>
          <w:sz w:val="28"/>
          <w:szCs w:val="28"/>
          <w:lang w:eastAsia="ru-RU"/>
        </w:rPr>
        <w:t>,</w:t>
      </w:r>
      <w:r w:rsidR="0037221D" w:rsidRPr="001D2D36">
        <w:rPr>
          <w:rFonts w:ascii="Times New Roman" w:eastAsia="Times New Roman" w:hAnsi="Times New Roman" w:cs="Times New Roman"/>
          <w:sz w:val="28"/>
          <w:szCs w:val="28"/>
          <w:lang w:eastAsia="ru-RU"/>
        </w:rPr>
        <w:t xml:space="preserve">  Регламенту Ради (ЄС) №139/2004 від 20 січня 2004 року </w:t>
      </w:r>
      <w:r w:rsidR="0006748B" w:rsidRPr="0006748B">
        <w:rPr>
          <w:rFonts w:ascii="Times New Roman" w:eastAsia="Times New Roman" w:hAnsi="Times New Roman" w:cs="Times New Roman"/>
          <w:sz w:val="28"/>
          <w:szCs w:val="28"/>
          <w:lang w:eastAsia="ru-RU"/>
        </w:rPr>
        <w:t>щодо контролю за концентраціями суб’єктів господарювання</w:t>
      </w:r>
      <w:r w:rsidR="0037221D" w:rsidRPr="001D2D36">
        <w:rPr>
          <w:rFonts w:ascii="Times New Roman" w:eastAsia="Times New Roman" w:hAnsi="Times New Roman" w:cs="Times New Roman"/>
          <w:sz w:val="28"/>
          <w:szCs w:val="28"/>
          <w:lang w:eastAsia="ru-RU"/>
        </w:rPr>
        <w:t xml:space="preserve"> </w:t>
      </w:r>
      <w:r w:rsidR="00E52632" w:rsidRPr="001D2D36">
        <w:rPr>
          <w:rFonts w:ascii="Times New Roman" w:eastAsia="Times New Roman" w:hAnsi="Times New Roman" w:cs="Times New Roman"/>
          <w:sz w:val="28"/>
          <w:szCs w:val="28"/>
          <w:lang w:eastAsia="ru-RU"/>
        </w:rPr>
        <w:t xml:space="preserve">(OJ L 24, 29.1.2004, p. 1–22) </w:t>
      </w:r>
      <w:r w:rsidR="001D2D36" w:rsidRPr="001D2D36">
        <w:rPr>
          <w:rFonts w:ascii="Times New Roman" w:eastAsia="Times New Roman" w:hAnsi="Times New Roman" w:cs="Times New Roman"/>
          <w:sz w:val="28"/>
          <w:szCs w:val="28"/>
          <w:lang w:eastAsia="ru-RU"/>
        </w:rPr>
        <w:t>(далі - Регламент 139/2004).</w:t>
      </w:r>
    </w:p>
    <w:p w:rsidR="004F2D42" w:rsidRPr="001D2D36" w:rsidRDefault="004F2D42" w:rsidP="00F10337">
      <w:pPr>
        <w:snapToGrid w:val="0"/>
        <w:spacing w:after="0" w:line="276" w:lineRule="auto"/>
        <w:ind w:firstLine="567"/>
        <w:jc w:val="both"/>
        <w:rPr>
          <w:rFonts w:ascii="Times New Roman" w:eastAsia="Times New Roman" w:hAnsi="Times New Roman" w:cs="Times New Roman"/>
          <w:sz w:val="28"/>
          <w:szCs w:val="28"/>
          <w:lang w:eastAsia="ru-RU"/>
        </w:rPr>
      </w:pPr>
      <w:r w:rsidRPr="001D2D36">
        <w:rPr>
          <w:rFonts w:ascii="Times New Roman" w:eastAsia="Times New Roman" w:hAnsi="Times New Roman" w:cs="Times New Roman"/>
          <w:sz w:val="28"/>
          <w:szCs w:val="28"/>
          <w:lang w:eastAsia="ru-RU"/>
        </w:rPr>
        <w:t>Сфер</w:t>
      </w:r>
      <w:r w:rsidR="00A37123" w:rsidRPr="001D2D36">
        <w:rPr>
          <w:rFonts w:ascii="Times New Roman" w:eastAsia="Times New Roman" w:hAnsi="Times New Roman" w:cs="Times New Roman"/>
          <w:sz w:val="28"/>
          <w:szCs w:val="28"/>
          <w:lang w:eastAsia="ru-RU"/>
        </w:rPr>
        <w:t>у</w:t>
      </w:r>
      <w:r w:rsidRPr="001D2D36">
        <w:rPr>
          <w:rFonts w:ascii="Times New Roman" w:eastAsia="Times New Roman" w:hAnsi="Times New Roman" w:cs="Times New Roman"/>
          <w:sz w:val="28"/>
          <w:szCs w:val="28"/>
          <w:lang w:eastAsia="ru-RU"/>
        </w:rPr>
        <w:t xml:space="preserve"> застосування Регламенту 139/2004 визначено у відповідності із географічною територією діяльності учасників концентрації, та обмежено за допомогою кількісних гранични</w:t>
      </w:r>
      <w:r w:rsidR="00A37123" w:rsidRPr="001D2D36">
        <w:rPr>
          <w:rFonts w:ascii="Times New Roman" w:eastAsia="Times New Roman" w:hAnsi="Times New Roman" w:cs="Times New Roman"/>
          <w:sz w:val="28"/>
          <w:szCs w:val="28"/>
          <w:lang w:eastAsia="ru-RU"/>
        </w:rPr>
        <w:t>х</w:t>
      </w:r>
      <w:r w:rsidRPr="001D2D36">
        <w:rPr>
          <w:rFonts w:ascii="Times New Roman" w:eastAsia="Times New Roman" w:hAnsi="Times New Roman" w:cs="Times New Roman"/>
          <w:sz w:val="28"/>
          <w:szCs w:val="28"/>
          <w:lang w:eastAsia="ru-RU"/>
        </w:rPr>
        <w:t xml:space="preserve"> показників з метою охоплення тільки тих концентрацій, які мають масштаб Співтовариства.</w:t>
      </w:r>
    </w:p>
    <w:p w:rsidR="00277B6B" w:rsidRDefault="00277B6B" w:rsidP="00625C84">
      <w:pPr>
        <w:snapToGrid w:val="0"/>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Положення проекту Закону щодо повноважень Антимонопольного комітету України </w:t>
      </w:r>
      <w:r w:rsidR="0001410E" w:rsidRPr="0001410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у сфері проведення перевірок та направлення запитів </w:t>
      </w:r>
      <w:r w:rsidR="0001410E">
        <w:rPr>
          <w:rFonts w:ascii="Times New Roman" w:eastAsia="Times New Roman" w:hAnsi="Times New Roman" w:cs="Times New Roman"/>
          <w:sz w:val="28"/>
          <w:szCs w:val="28"/>
          <w:lang w:eastAsia="ru-RU"/>
        </w:rPr>
        <w:t>(внесення змін до статті 7 Закону України «</w:t>
      </w:r>
      <w:r w:rsidR="0001410E" w:rsidRPr="0001410E">
        <w:rPr>
          <w:rFonts w:ascii="Times New Roman" w:eastAsia="Times New Roman" w:hAnsi="Times New Roman" w:cs="Times New Roman"/>
          <w:sz w:val="28"/>
          <w:szCs w:val="28"/>
          <w:lang w:eastAsia="ru-RU"/>
        </w:rPr>
        <w:t>Про Антимонопольний комітет України</w:t>
      </w:r>
      <w:r w:rsidR="0001410E">
        <w:rPr>
          <w:rFonts w:ascii="Times New Roman" w:eastAsia="Times New Roman" w:hAnsi="Times New Roman" w:cs="Times New Roman"/>
          <w:sz w:val="28"/>
          <w:szCs w:val="28"/>
          <w:lang w:eastAsia="ru-RU"/>
        </w:rPr>
        <w:t xml:space="preserve">») </w:t>
      </w:r>
      <w:r w:rsidRPr="00277B6B">
        <w:rPr>
          <w:rFonts w:ascii="Times New Roman" w:eastAsia="Times New Roman" w:hAnsi="Times New Roman" w:cs="Times New Roman"/>
          <w:b/>
          <w:sz w:val="28"/>
          <w:szCs w:val="28"/>
          <w:lang w:eastAsia="ru-RU"/>
        </w:rPr>
        <w:t>відповідають</w:t>
      </w:r>
      <w:r>
        <w:rPr>
          <w:rFonts w:ascii="Times New Roman" w:eastAsia="Times New Roman" w:hAnsi="Times New Roman" w:cs="Times New Roman"/>
          <w:sz w:val="28"/>
          <w:szCs w:val="28"/>
          <w:lang w:eastAsia="ru-RU"/>
        </w:rPr>
        <w:t xml:space="preserve"> відповідним положенням статей 11 - 13 Регламенту 139/2004.</w:t>
      </w:r>
    </w:p>
    <w:p w:rsidR="00625C84" w:rsidRPr="001D2D36" w:rsidRDefault="00277B6B" w:rsidP="00625C84">
      <w:pPr>
        <w:snapToGrid w:val="0"/>
        <w:spacing w:after="0" w:line="276"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той же час, п</w:t>
      </w:r>
      <w:r w:rsidR="00625C84" w:rsidRPr="001D2D36">
        <w:rPr>
          <w:rFonts w:ascii="Times New Roman" w:eastAsia="Times New Roman" w:hAnsi="Times New Roman" w:cs="Times New Roman"/>
          <w:sz w:val="28"/>
          <w:szCs w:val="28"/>
          <w:lang w:eastAsia="ru-RU"/>
        </w:rPr>
        <w:t xml:space="preserve">унктом 32 преамбули Регламенту 139/2004 визначено, що концентрації, які в силу невеликого розміру частки ринку її учасників не можуть становити загрози для ефективної конкуренції, можуть </w:t>
      </w:r>
      <w:proofErr w:type="spellStart"/>
      <w:r w:rsidR="00625C84" w:rsidRPr="001D2D36">
        <w:rPr>
          <w:rFonts w:ascii="Times New Roman" w:eastAsia="Times New Roman" w:hAnsi="Times New Roman" w:cs="Times New Roman"/>
          <w:sz w:val="28"/>
          <w:szCs w:val="28"/>
          <w:lang w:eastAsia="ru-RU"/>
        </w:rPr>
        <w:t>презюмуватись</w:t>
      </w:r>
      <w:proofErr w:type="spellEnd"/>
      <w:r w:rsidR="00625C84" w:rsidRPr="001D2D36">
        <w:rPr>
          <w:rFonts w:ascii="Times New Roman" w:eastAsia="Times New Roman" w:hAnsi="Times New Roman" w:cs="Times New Roman"/>
          <w:sz w:val="28"/>
          <w:szCs w:val="28"/>
          <w:lang w:eastAsia="ru-RU"/>
        </w:rPr>
        <w:t xml:space="preserve"> як сумісні зі спільним ринком, коли частка ринку учасників концентрації не перевищує 25% на спільному ринку чи значній його частині, </w:t>
      </w:r>
      <w:r>
        <w:rPr>
          <w:rFonts w:ascii="Times New Roman" w:eastAsia="Times New Roman" w:hAnsi="Times New Roman" w:cs="Times New Roman"/>
          <w:sz w:val="28"/>
          <w:szCs w:val="28"/>
          <w:lang w:eastAsia="ru-RU"/>
        </w:rPr>
        <w:t>але</w:t>
      </w:r>
      <w:r w:rsidR="00625C84" w:rsidRPr="001D2D36">
        <w:rPr>
          <w:rFonts w:ascii="Times New Roman" w:eastAsia="Times New Roman" w:hAnsi="Times New Roman" w:cs="Times New Roman"/>
          <w:sz w:val="28"/>
          <w:szCs w:val="28"/>
          <w:lang w:eastAsia="ru-RU"/>
        </w:rPr>
        <w:t xml:space="preserve"> змінами до частини 2 статті 12 Закону України «Про захист економічної конкуренції» пропонується визначити, що монопольним (домінуючим) вважається становище суб’єкта господарювання, частка якого на ринку товару перевищує 40 відсотків, якщо він не доведе, що зазнає значної конкуренції, що </w:t>
      </w:r>
      <w:r w:rsidR="00625C84" w:rsidRPr="001D2D36">
        <w:rPr>
          <w:rFonts w:ascii="Times New Roman" w:eastAsia="Times New Roman" w:hAnsi="Times New Roman" w:cs="Times New Roman"/>
          <w:b/>
          <w:sz w:val="28"/>
          <w:szCs w:val="28"/>
          <w:lang w:eastAsia="ru-RU"/>
        </w:rPr>
        <w:t>не відповідає</w:t>
      </w:r>
      <w:r w:rsidR="00625C84" w:rsidRPr="001D2D36">
        <w:rPr>
          <w:rFonts w:ascii="Times New Roman" w:eastAsia="Times New Roman" w:hAnsi="Times New Roman" w:cs="Times New Roman"/>
          <w:sz w:val="28"/>
          <w:szCs w:val="28"/>
          <w:lang w:eastAsia="ru-RU"/>
        </w:rPr>
        <w:t xml:space="preserve"> положенням зазначеного Регламенту.</w:t>
      </w:r>
    </w:p>
    <w:p w:rsidR="00986316" w:rsidRPr="001D2D36" w:rsidRDefault="00A37123" w:rsidP="00986316">
      <w:pPr>
        <w:snapToGrid w:val="0"/>
        <w:spacing w:after="0" w:line="276" w:lineRule="auto"/>
        <w:ind w:firstLine="567"/>
        <w:jc w:val="both"/>
        <w:rPr>
          <w:rFonts w:ascii="Times New Roman" w:eastAsia="Times New Roman" w:hAnsi="Times New Roman" w:cs="Times New Roman"/>
          <w:sz w:val="28"/>
          <w:szCs w:val="28"/>
          <w:lang w:eastAsia="ru-RU"/>
        </w:rPr>
      </w:pPr>
      <w:r w:rsidRPr="001D2D36">
        <w:rPr>
          <w:rFonts w:ascii="Times New Roman" w:eastAsia="Times New Roman" w:hAnsi="Times New Roman" w:cs="Times New Roman"/>
          <w:sz w:val="28"/>
          <w:szCs w:val="28"/>
          <w:lang w:eastAsia="ru-RU"/>
        </w:rPr>
        <w:lastRenderedPageBreak/>
        <w:t xml:space="preserve">Положення проекту Закону щодо визначення </w:t>
      </w:r>
      <w:r w:rsidR="00986316" w:rsidRPr="001D2D36">
        <w:rPr>
          <w:rFonts w:ascii="Times New Roman" w:eastAsia="Times New Roman" w:hAnsi="Times New Roman" w:cs="Times New Roman"/>
          <w:sz w:val="28"/>
          <w:szCs w:val="28"/>
          <w:lang w:eastAsia="ru-RU"/>
        </w:rPr>
        <w:t xml:space="preserve">концентрацій та </w:t>
      </w:r>
      <w:r w:rsidRPr="001D2D36">
        <w:rPr>
          <w:rFonts w:ascii="Times New Roman" w:eastAsia="Times New Roman" w:hAnsi="Times New Roman" w:cs="Times New Roman"/>
          <w:sz w:val="28"/>
          <w:szCs w:val="28"/>
          <w:lang w:eastAsia="ru-RU"/>
        </w:rPr>
        <w:t xml:space="preserve">порогових значень до концентрації </w:t>
      </w:r>
      <w:r w:rsidR="00986316" w:rsidRPr="001D2D36">
        <w:rPr>
          <w:rFonts w:ascii="Times New Roman" w:eastAsia="Times New Roman" w:hAnsi="Times New Roman" w:cs="Times New Roman"/>
          <w:sz w:val="28"/>
          <w:szCs w:val="28"/>
          <w:lang w:eastAsia="ru-RU"/>
        </w:rPr>
        <w:t>(зміни до статей 22 та</w:t>
      </w:r>
      <w:r w:rsidR="00CD03A1" w:rsidRPr="001D2D36">
        <w:rPr>
          <w:rFonts w:ascii="Times New Roman" w:eastAsia="Times New Roman" w:hAnsi="Times New Roman" w:cs="Times New Roman"/>
          <w:sz w:val="28"/>
          <w:szCs w:val="28"/>
          <w:lang w:eastAsia="ru-RU"/>
        </w:rPr>
        <w:t xml:space="preserve"> 24 Закону України «Про захист економічної конкуренції») </w:t>
      </w:r>
      <w:r w:rsidRPr="001D2D36">
        <w:rPr>
          <w:rFonts w:ascii="Times New Roman" w:eastAsia="Times New Roman" w:hAnsi="Times New Roman" w:cs="Times New Roman"/>
          <w:b/>
          <w:sz w:val="28"/>
          <w:szCs w:val="28"/>
          <w:lang w:eastAsia="ru-RU"/>
        </w:rPr>
        <w:t>не врахову</w:t>
      </w:r>
      <w:r w:rsidR="00D53FBC" w:rsidRPr="001D2D36">
        <w:rPr>
          <w:rFonts w:ascii="Times New Roman" w:eastAsia="Times New Roman" w:hAnsi="Times New Roman" w:cs="Times New Roman"/>
          <w:b/>
          <w:sz w:val="28"/>
          <w:szCs w:val="28"/>
          <w:lang w:eastAsia="ru-RU"/>
        </w:rPr>
        <w:t>ють</w:t>
      </w:r>
      <w:r w:rsidRPr="001D2D36">
        <w:rPr>
          <w:rFonts w:ascii="Times New Roman" w:eastAsia="Times New Roman" w:hAnsi="Times New Roman" w:cs="Times New Roman"/>
          <w:sz w:val="28"/>
          <w:szCs w:val="28"/>
          <w:lang w:eastAsia="ru-RU"/>
        </w:rPr>
        <w:t xml:space="preserve"> положення стат</w:t>
      </w:r>
      <w:r w:rsidR="00986316" w:rsidRPr="001D2D36">
        <w:rPr>
          <w:rFonts w:ascii="Times New Roman" w:eastAsia="Times New Roman" w:hAnsi="Times New Roman" w:cs="Times New Roman"/>
          <w:sz w:val="28"/>
          <w:szCs w:val="28"/>
          <w:lang w:eastAsia="ru-RU"/>
        </w:rPr>
        <w:t>ей</w:t>
      </w:r>
      <w:r w:rsidRPr="001D2D36">
        <w:rPr>
          <w:rFonts w:ascii="Times New Roman" w:eastAsia="Times New Roman" w:hAnsi="Times New Roman" w:cs="Times New Roman"/>
          <w:sz w:val="28"/>
          <w:szCs w:val="28"/>
          <w:lang w:eastAsia="ru-RU"/>
        </w:rPr>
        <w:t xml:space="preserve"> 1</w:t>
      </w:r>
      <w:r w:rsidR="00986316" w:rsidRPr="001D2D36">
        <w:rPr>
          <w:rFonts w:ascii="Times New Roman" w:eastAsia="Times New Roman" w:hAnsi="Times New Roman" w:cs="Times New Roman"/>
          <w:sz w:val="28"/>
          <w:szCs w:val="28"/>
          <w:lang w:eastAsia="ru-RU"/>
        </w:rPr>
        <w:t>-3</w:t>
      </w:r>
      <w:r w:rsidRPr="001D2D36">
        <w:rPr>
          <w:rFonts w:ascii="Times New Roman" w:eastAsia="Times New Roman" w:hAnsi="Times New Roman" w:cs="Times New Roman"/>
          <w:sz w:val="28"/>
          <w:szCs w:val="28"/>
          <w:lang w:eastAsia="ru-RU"/>
        </w:rPr>
        <w:t xml:space="preserve"> </w:t>
      </w:r>
      <w:r w:rsidR="00CD03A1" w:rsidRPr="001D2D36">
        <w:rPr>
          <w:rFonts w:ascii="Times New Roman" w:eastAsia="Times New Roman" w:hAnsi="Times New Roman" w:cs="Times New Roman"/>
          <w:sz w:val="28"/>
          <w:szCs w:val="28"/>
          <w:lang w:eastAsia="ru-RU"/>
        </w:rPr>
        <w:t xml:space="preserve">Регламенту </w:t>
      </w:r>
      <w:r w:rsidRPr="001D2D36">
        <w:rPr>
          <w:rFonts w:ascii="Times New Roman" w:eastAsia="Times New Roman" w:hAnsi="Times New Roman" w:cs="Times New Roman"/>
          <w:sz w:val="28"/>
          <w:szCs w:val="28"/>
          <w:lang w:eastAsia="ru-RU"/>
        </w:rPr>
        <w:t>139/2004</w:t>
      </w:r>
      <w:r w:rsidR="00AA2241" w:rsidRPr="001D2D36">
        <w:rPr>
          <w:rFonts w:ascii="Times New Roman" w:eastAsia="Times New Roman" w:hAnsi="Times New Roman" w:cs="Times New Roman"/>
          <w:sz w:val="28"/>
          <w:szCs w:val="28"/>
          <w:lang w:eastAsia="ru-RU"/>
        </w:rPr>
        <w:t>.</w:t>
      </w:r>
    </w:p>
    <w:p w:rsidR="00277B6B" w:rsidRDefault="00277B6B" w:rsidP="00F10337">
      <w:pPr>
        <w:snapToGrid w:val="0"/>
        <w:spacing w:after="0" w:line="276" w:lineRule="auto"/>
        <w:ind w:firstLine="567"/>
        <w:jc w:val="both"/>
        <w:rPr>
          <w:rFonts w:ascii="Times New Roman" w:eastAsia="Times New Roman" w:hAnsi="Times New Roman" w:cs="Times New Roman"/>
          <w:sz w:val="28"/>
          <w:szCs w:val="28"/>
          <w:lang w:eastAsia="ru-RU"/>
        </w:rPr>
      </w:pPr>
    </w:p>
    <w:p w:rsidR="0037221D" w:rsidRPr="00210EFF" w:rsidRDefault="00723BB6" w:rsidP="00210EFF">
      <w:pPr>
        <w:snapToGrid w:val="0"/>
        <w:spacing w:after="0" w:line="276" w:lineRule="auto"/>
        <w:ind w:firstLine="567"/>
        <w:jc w:val="both"/>
        <w:rPr>
          <w:rFonts w:ascii="Times New Roman" w:eastAsia="Times New Roman" w:hAnsi="Times New Roman" w:cs="Times New Roman"/>
          <w:sz w:val="28"/>
          <w:szCs w:val="28"/>
          <w:lang w:eastAsia="ru-RU"/>
        </w:rPr>
      </w:pPr>
      <w:r w:rsidRPr="00AA2241">
        <w:rPr>
          <w:rFonts w:ascii="Times New Roman" w:eastAsia="Times New Roman" w:hAnsi="Times New Roman" w:cs="Times New Roman"/>
          <w:sz w:val="28"/>
          <w:szCs w:val="28"/>
          <w:lang w:eastAsia="ru-RU"/>
        </w:rPr>
        <w:t xml:space="preserve">З огляду на зазначене, проект Закону </w:t>
      </w:r>
      <w:r w:rsidRPr="00F10337">
        <w:rPr>
          <w:rFonts w:ascii="Times New Roman" w:eastAsia="Times New Roman" w:hAnsi="Times New Roman" w:cs="Times New Roman"/>
          <w:b/>
          <w:sz w:val="28"/>
          <w:szCs w:val="28"/>
          <w:lang w:eastAsia="ru-RU"/>
        </w:rPr>
        <w:t>не суперечить цілями Угоди</w:t>
      </w:r>
      <w:r w:rsidRPr="00AA2241">
        <w:rPr>
          <w:rFonts w:ascii="Times New Roman" w:eastAsia="Times New Roman" w:hAnsi="Times New Roman" w:cs="Times New Roman"/>
          <w:sz w:val="28"/>
          <w:szCs w:val="28"/>
          <w:lang w:eastAsia="ru-RU"/>
        </w:rPr>
        <w:t xml:space="preserve"> про асоціацію, </w:t>
      </w:r>
      <w:r>
        <w:rPr>
          <w:rFonts w:ascii="Times New Roman" w:eastAsia="Times New Roman" w:hAnsi="Times New Roman" w:cs="Times New Roman"/>
          <w:sz w:val="28"/>
          <w:szCs w:val="28"/>
          <w:lang w:eastAsia="ru-RU"/>
        </w:rPr>
        <w:t xml:space="preserve">в частині </w:t>
      </w:r>
      <w:r w:rsidRPr="0060705D">
        <w:rPr>
          <w:rFonts w:ascii="Times New Roman" w:eastAsia="Times New Roman" w:hAnsi="Times New Roman" w:cs="Times New Roman"/>
          <w:sz w:val="28"/>
          <w:szCs w:val="28"/>
          <w:lang w:eastAsia="ru-RU"/>
        </w:rPr>
        <w:t xml:space="preserve"> повноважень Антимонопольного комітету України,</w:t>
      </w:r>
      <w:r>
        <w:rPr>
          <w:rFonts w:ascii="Times New Roman" w:eastAsia="Times New Roman" w:hAnsi="Times New Roman" w:cs="Times New Roman"/>
          <w:sz w:val="28"/>
          <w:szCs w:val="28"/>
          <w:lang w:val="ru-RU" w:eastAsia="ru-RU"/>
        </w:rPr>
        <w:t xml:space="preserve"> </w:t>
      </w:r>
      <w:r w:rsidR="00497469" w:rsidRPr="00497469">
        <w:rPr>
          <w:rFonts w:ascii="Times New Roman" w:eastAsia="Times New Roman" w:hAnsi="Times New Roman" w:cs="Times New Roman"/>
          <w:b/>
          <w:sz w:val="28"/>
          <w:szCs w:val="28"/>
          <w:lang w:val="ru-RU" w:eastAsia="ru-RU"/>
        </w:rPr>
        <w:t>але</w:t>
      </w:r>
      <w:r w:rsidR="00986316" w:rsidRPr="001D2D36">
        <w:rPr>
          <w:rFonts w:ascii="Times New Roman" w:eastAsia="Times New Roman" w:hAnsi="Times New Roman" w:cs="Times New Roman"/>
          <w:sz w:val="28"/>
          <w:szCs w:val="28"/>
          <w:lang w:eastAsia="ru-RU"/>
        </w:rPr>
        <w:t xml:space="preserve"> </w:t>
      </w:r>
      <w:r w:rsidR="00986316" w:rsidRPr="00723BB6">
        <w:rPr>
          <w:rFonts w:ascii="Times New Roman" w:eastAsia="Times New Roman" w:hAnsi="Times New Roman" w:cs="Times New Roman"/>
          <w:b/>
          <w:sz w:val="28"/>
          <w:szCs w:val="28"/>
          <w:lang w:eastAsia="ru-RU"/>
        </w:rPr>
        <w:t>потребує доопрацювання</w:t>
      </w:r>
      <w:r w:rsidR="00986316" w:rsidRPr="001D2D36">
        <w:rPr>
          <w:rFonts w:ascii="Times New Roman" w:eastAsia="Times New Roman" w:hAnsi="Times New Roman" w:cs="Times New Roman"/>
          <w:sz w:val="28"/>
          <w:szCs w:val="28"/>
          <w:lang w:eastAsia="ru-RU"/>
        </w:rPr>
        <w:t xml:space="preserve"> з метою </w:t>
      </w:r>
      <w:r w:rsidR="001D2D36" w:rsidRPr="001D2D36">
        <w:rPr>
          <w:rFonts w:ascii="Times New Roman" w:eastAsia="Times New Roman" w:hAnsi="Times New Roman" w:cs="Times New Roman"/>
          <w:sz w:val="28"/>
          <w:szCs w:val="28"/>
          <w:lang w:eastAsia="ru-RU"/>
        </w:rPr>
        <w:t>повної імплементації</w:t>
      </w:r>
      <w:r w:rsidR="00986316" w:rsidRPr="001D2D36">
        <w:rPr>
          <w:rFonts w:ascii="Times New Roman" w:eastAsia="Times New Roman" w:hAnsi="Times New Roman" w:cs="Times New Roman"/>
          <w:sz w:val="28"/>
          <w:szCs w:val="28"/>
          <w:lang w:eastAsia="ru-RU"/>
        </w:rPr>
        <w:t xml:space="preserve"> положень</w:t>
      </w:r>
      <w:r w:rsidR="001D2D36" w:rsidRPr="001D2D36">
        <w:rPr>
          <w:rFonts w:ascii="Times New Roman" w:eastAsia="Times New Roman" w:hAnsi="Times New Roman" w:cs="Times New Roman"/>
          <w:sz w:val="28"/>
          <w:szCs w:val="28"/>
          <w:lang w:eastAsia="ru-RU"/>
        </w:rPr>
        <w:t xml:space="preserve"> Регламенту № </w:t>
      </w:r>
      <w:r w:rsidR="006F5D7E" w:rsidRPr="001D2D36">
        <w:rPr>
          <w:rFonts w:ascii="Times New Roman" w:eastAsia="Times New Roman" w:hAnsi="Times New Roman" w:cs="Times New Roman"/>
          <w:sz w:val="28"/>
          <w:szCs w:val="28"/>
          <w:lang w:eastAsia="ru-RU"/>
        </w:rPr>
        <w:t>139/2004.</w:t>
      </w:r>
      <w:bookmarkStart w:id="0" w:name="_GoBack"/>
      <w:bookmarkEnd w:id="0"/>
    </w:p>
    <w:sectPr w:rsidR="0037221D" w:rsidRPr="00210EFF" w:rsidSect="009B6357">
      <w:headerReference w:type="default" r:id="rId8"/>
      <w:headerReference w:type="first" r:id="rId9"/>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3E8" w:rsidRDefault="00B553E8" w:rsidP="008A5974">
      <w:pPr>
        <w:spacing w:after="0" w:line="240" w:lineRule="auto"/>
      </w:pPr>
      <w:r>
        <w:separator/>
      </w:r>
    </w:p>
  </w:endnote>
  <w:endnote w:type="continuationSeparator" w:id="0">
    <w:p w:rsidR="00B553E8" w:rsidRDefault="00B553E8"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3E8" w:rsidRDefault="00B553E8" w:rsidP="008A5974">
      <w:pPr>
        <w:spacing w:after="0" w:line="240" w:lineRule="auto"/>
      </w:pPr>
      <w:r>
        <w:separator/>
      </w:r>
    </w:p>
  </w:footnote>
  <w:footnote w:type="continuationSeparator" w:id="0">
    <w:p w:rsidR="00B553E8" w:rsidRDefault="00B553E8"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4"/>
          <w:jc w:val="center"/>
        </w:pPr>
        <w:r>
          <w:fldChar w:fldCharType="begin"/>
        </w:r>
        <w:r>
          <w:instrText>PAGE   \* MERGEFORMAT</w:instrText>
        </w:r>
        <w:r>
          <w:fldChar w:fldCharType="separate"/>
        </w:r>
        <w:r w:rsidR="00210EFF">
          <w:rPr>
            <w:noProof/>
          </w:rPr>
          <w:t>3</w:t>
        </w:r>
        <w:r>
          <w:fldChar w:fldCharType="end"/>
        </w:r>
      </w:p>
    </w:sdtContent>
  </w:sdt>
  <w:p w:rsidR="008A5974" w:rsidRDefault="008A597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4E0F28" w:rsidRDefault="00DC3562" w:rsidP="00DC3562">
    <w:pPr>
      <w:pStyle w:val="a4"/>
      <w:jc w:val="right"/>
      <w:rPr>
        <w:rFonts w:ascii="Times New Roman" w:hAnsi="Times New Roman" w:cs="Times New Roman"/>
        <w:b/>
        <w:color w:val="FF0000"/>
        <w:sz w:val="28"/>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1410E"/>
    <w:rsid w:val="00034886"/>
    <w:rsid w:val="000350A4"/>
    <w:rsid w:val="000404FC"/>
    <w:rsid w:val="00042672"/>
    <w:rsid w:val="00045A57"/>
    <w:rsid w:val="0005024F"/>
    <w:rsid w:val="0006748B"/>
    <w:rsid w:val="00072B0D"/>
    <w:rsid w:val="00075B31"/>
    <w:rsid w:val="00080CA9"/>
    <w:rsid w:val="00090188"/>
    <w:rsid w:val="0009456C"/>
    <w:rsid w:val="000C2FCA"/>
    <w:rsid w:val="000C300B"/>
    <w:rsid w:val="000E3FE0"/>
    <w:rsid w:val="000F4CFF"/>
    <w:rsid w:val="00105F68"/>
    <w:rsid w:val="0011284D"/>
    <w:rsid w:val="00125B17"/>
    <w:rsid w:val="0012685C"/>
    <w:rsid w:val="001420B5"/>
    <w:rsid w:val="00163777"/>
    <w:rsid w:val="00165313"/>
    <w:rsid w:val="0017220F"/>
    <w:rsid w:val="00186931"/>
    <w:rsid w:val="001879F1"/>
    <w:rsid w:val="00196CBA"/>
    <w:rsid w:val="001B1E02"/>
    <w:rsid w:val="001D201A"/>
    <w:rsid w:val="001D2D36"/>
    <w:rsid w:val="001D2E18"/>
    <w:rsid w:val="001D76B2"/>
    <w:rsid w:val="001E5D0B"/>
    <w:rsid w:val="001F6E5A"/>
    <w:rsid w:val="00206CB5"/>
    <w:rsid w:val="00210EFF"/>
    <w:rsid w:val="0022520C"/>
    <w:rsid w:val="00230778"/>
    <w:rsid w:val="00267C06"/>
    <w:rsid w:val="00277B6B"/>
    <w:rsid w:val="00285458"/>
    <w:rsid w:val="00286886"/>
    <w:rsid w:val="00293717"/>
    <w:rsid w:val="00293F12"/>
    <w:rsid w:val="0029766D"/>
    <w:rsid w:val="002A6059"/>
    <w:rsid w:val="002B446C"/>
    <w:rsid w:val="002F157E"/>
    <w:rsid w:val="003126AB"/>
    <w:rsid w:val="00325678"/>
    <w:rsid w:val="003417C7"/>
    <w:rsid w:val="00356995"/>
    <w:rsid w:val="00367DDE"/>
    <w:rsid w:val="0037221D"/>
    <w:rsid w:val="00384409"/>
    <w:rsid w:val="003C45CB"/>
    <w:rsid w:val="003D5517"/>
    <w:rsid w:val="00402CFB"/>
    <w:rsid w:val="00410F0A"/>
    <w:rsid w:val="00415CE7"/>
    <w:rsid w:val="00416D33"/>
    <w:rsid w:val="004206E5"/>
    <w:rsid w:val="00431C11"/>
    <w:rsid w:val="00433932"/>
    <w:rsid w:val="00435151"/>
    <w:rsid w:val="00451257"/>
    <w:rsid w:val="00490B8F"/>
    <w:rsid w:val="00494C5F"/>
    <w:rsid w:val="00496036"/>
    <w:rsid w:val="00497469"/>
    <w:rsid w:val="00497BA2"/>
    <w:rsid w:val="004A0A08"/>
    <w:rsid w:val="004A41FC"/>
    <w:rsid w:val="004B1B79"/>
    <w:rsid w:val="004B55FE"/>
    <w:rsid w:val="004D01D8"/>
    <w:rsid w:val="004E0F28"/>
    <w:rsid w:val="004F2D42"/>
    <w:rsid w:val="004F5AE0"/>
    <w:rsid w:val="00511ADD"/>
    <w:rsid w:val="005438EA"/>
    <w:rsid w:val="00547EF0"/>
    <w:rsid w:val="00554E16"/>
    <w:rsid w:val="00567F82"/>
    <w:rsid w:val="00570D77"/>
    <w:rsid w:val="0057278A"/>
    <w:rsid w:val="00586CFC"/>
    <w:rsid w:val="005B0639"/>
    <w:rsid w:val="005B2BAB"/>
    <w:rsid w:val="005B68B1"/>
    <w:rsid w:val="005C03B2"/>
    <w:rsid w:val="005C190D"/>
    <w:rsid w:val="005D27FB"/>
    <w:rsid w:val="005D2EE4"/>
    <w:rsid w:val="0060705D"/>
    <w:rsid w:val="00625C84"/>
    <w:rsid w:val="00636F8F"/>
    <w:rsid w:val="00653AA5"/>
    <w:rsid w:val="0069769A"/>
    <w:rsid w:val="006C2167"/>
    <w:rsid w:val="006C2B2F"/>
    <w:rsid w:val="006C4225"/>
    <w:rsid w:val="006D7C09"/>
    <w:rsid w:val="006E6EC5"/>
    <w:rsid w:val="006F5D7E"/>
    <w:rsid w:val="006F7145"/>
    <w:rsid w:val="007049A1"/>
    <w:rsid w:val="007228F7"/>
    <w:rsid w:val="00723BB6"/>
    <w:rsid w:val="00734556"/>
    <w:rsid w:val="00734ED3"/>
    <w:rsid w:val="007358FA"/>
    <w:rsid w:val="00764E7A"/>
    <w:rsid w:val="00771477"/>
    <w:rsid w:val="00796CB2"/>
    <w:rsid w:val="007A3A08"/>
    <w:rsid w:val="007B14F8"/>
    <w:rsid w:val="007B6324"/>
    <w:rsid w:val="007C40E9"/>
    <w:rsid w:val="007D00D9"/>
    <w:rsid w:val="00803A4B"/>
    <w:rsid w:val="00814D5E"/>
    <w:rsid w:val="008459D2"/>
    <w:rsid w:val="00853550"/>
    <w:rsid w:val="0085361C"/>
    <w:rsid w:val="00864989"/>
    <w:rsid w:val="008752B8"/>
    <w:rsid w:val="008814BE"/>
    <w:rsid w:val="008827CB"/>
    <w:rsid w:val="00883AFA"/>
    <w:rsid w:val="00885926"/>
    <w:rsid w:val="00896EBE"/>
    <w:rsid w:val="008A5974"/>
    <w:rsid w:val="008A7B84"/>
    <w:rsid w:val="008B0FBE"/>
    <w:rsid w:val="008B4546"/>
    <w:rsid w:val="008D4F02"/>
    <w:rsid w:val="008D72CA"/>
    <w:rsid w:val="00911615"/>
    <w:rsid w:val="00920C62"/>
    <w:rsid w:val="00924188"/>
    <w:rsid w:val="00941198"/>
    <w:rsid w:val="0094324E"/>
    <w:rsid w:val="0098362C"/>
    <w:rsid w:val="009852A5"/>
    <w:rsid w:val="00986249"/>
    <w:rsid w:val="00986316"/>
    <w:rsid w:val="00995F48"/>
    <w:rsid w:val="009B6357"/>
    <w:rsid w:val="009C7921"/>
    <w:rsid w:val="00A0600B"/>
    <w:rsid w:val="00A16A98"/>
    <w:rsid w:val="00A3074E"/>
    <w:rsid w:val="00A37123"/>
    <w:rsid w:val="00A45BEF"/>
    <w:rsid w:val="00A524E0"/>
    <w:rsid w:val="00A65EB1"/>
    <w:rsid w:val="00A73C29"/>
    <w:rsid w:val="00A95F1F"/>
    <w:rsid w:val="00AA2241"/>
    <w:rsid w:val="00AA6462"/>
    <w:rsid w:val="00AB6C2D"/>
    <w:rsid w:val="00AC0198"/>
    <w:rsid w:val="00AF565B"/>
    <w:rsid w:val="00B23919"/>
    <w:rsid w:val="00B31C5C"/>
    <w:rsid w:val="00B454BD"/>
    <w:rsid w:val="00B46A8D"/>
    <w:rsid w:val="00B535F9"/>
    <w:rsid w:val="00B553E8"/>
    <w:rsid w:val="00B60A86"/>
    <w:rsid w:val="00B633F7"/>
    <w:rsid w:val="00B6384B"/>
    <w:rsid w:val="00B71F50"/>
    <w:rsid w:val="00B747C4"/>
    <w:rsid w:val="00B75C66"/>
    <w:rsid w:val="00B776FD"/>
    <w:rsid w:val="00B86E61"/>
    <w:rsid w:val="00B87CF7"/>
    <w:rsid w:val="00B91FE6"/>
    <w:rsid w:val="00B96D39"/>
    <w:rsid w:val="00BA388A"/>
    <w:rsid w:val="00BB6CF7"/>
    <w:rsid w:val="00BC6A15"/>
    <w:rsid w:val="00BC7F35"/>
    <w:rsid w:val="00BD5E97"/>
    <w:rsid w:val="00BE78E2"/>
    <w:rsid w:val="00C02AD1"/>
    <w:rsid w:val="00C07748"/>
    <w:rsid w:val="00C102E5"/>
    <w:rsid w:val="00C20112"/>
    <w:rsid w:val="00C42C06"/>
    <w:rsid w:val="00C66647"/>
    <w:rsid w:val="00C7589D"/>
    <w:rsid w:val="00C819E2"/>
    <w:rsid w:val="00C876E5"/>
    <w:rsid w:val="00C932C3"/>
    <w:rsid w:val="00CA56D2"/>
    <w:rsid w:val="00CA71F6"/>
    <w:rsid w:val="00CC0119"/>
    <w:rsid w:val="00CC1CCB"/>
    <w:rsid w:val="00CD03A1"/>
    <w:rsid w:val="00D11F8F"/>
    <w:rsid w:val="00D16651"/>
    <w:rsid w:val="00D22764"/>
    <w:rsid w:val="00D35788"/>
    <w:rsid w:val="00D4227F"/>
    <w:rsid w:val="00D53FBC"/>
    <w:rsid w:val="00D65561"/>
    <w:rsid w:val="00D74E14"/>
    <w:rsid w:val="00D862AD"/>
    <w:rsid w:val="00D864F4"/>
    <w:rsid w:val="00DA248B"/>
    <w:rsid w:val="00DC01DB"/>
    <w:rsid w:val="00DC0698"/>
    <w:rsid w:val="00DC3562"/>
    <w:rsid w:val="00DE468F"/>
    <w:rsid w:val="00DF0B32"/>
    <w:rsid w:val="00E027B6"/>
    <w:rsid w:val="00E11FF0"/>
    <w:rsid w:val="00E15EF0"/>
    <w:rsid w:val="00E263CB"/>
    <w:rsid w:val="00E354E4"/>
    <w:rsid w:val="00E36F56"/>
    <w:rsid w:val="00E52632"/>
    <w:rsid w:val="00E60689"/>
    <w:rsid w:val="00E70A5E"/>
    <w:rsid w:val="00E72D79"/>
    <w:rsid w:val="00E96506"/>
    <w:rsid w:val="00EB020E"/>
    <w:rsid w:val="00EB08B9"/>
    <w:rsid w:val="00EE51C6"/>
    <w:rsid w:val="00F076B3"/>
    <w:rsid w:val="00F10337"/>
    <w:rsid w:val="00F13D03"/>
    <w:rsid w:val="00F25E85"/>
    <w:rsid w:val="00F35686"/>
    <w:rsid w:val="00F556A3"/>
    <w:rsid w:val="00F627AD"/>
    <w:rsid w:val="00F65A2E"/>
    <w:rsid w:val="00F676FD"/>
    <w:rsid w:val="00F7069D"/>
    <w:rsid w:val="00F7668B"/>
    <w:rsid w:val="00F84676"/>
    <w:rsid w:val="00F90955"/>
    <w:rsid w:val="00F94EBE"/>
    <w:rsid w:val="00FD0583"/>
    <w:rsid w:val="00FD7DEA"/>
    <w:rsid w:val="00FE03CA"/>
    <w:rsid w:val="00FE07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D4F3F"/>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668B"/>
    <w:pPr>
      <w:ind w:left="720"/>
      <w:contextualSpacing/>
    </w:pPr>
  </w:style>
  <w:style w:type="paragraph" w:styleId="a4">
    <w:name w:val="header"/>
    <w:basedOn w:val="a"/>
    <w:link w:val="a5"/>
    <w:uiPriority w:val="99"/>
    <w:unhideWhenUsed/>
    <w:rsid w:val="008A597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A5974"/>
  </w:style>
  <w:style w:type="paragraph" w:styleId="a6">
    <w:name w:val="footer"/>
    <w:basedOn w:val="a"/>
    <w:link w:val="a7"/>
    <w:uiPriority w:val="99"/>
    <w:unhideWhenUsed/>
    <w:rsid w:val="008A597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A5974"/>
  </w:style>
  <w:style w:type="paragraph" w:styleId="a8">
    <w:name w:val="Balloon Text"/>
    <w:basedOn w:val="a"/>
    <w:link w:val="a9"/>
    <w:uiPriority w:val="99"/>
    <w:semiHidden/>
    <w:unhideWhenUsed/>
    <w:rsid w:val="007358F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358FA"/>
    <w:rPr>
      <w:rFonts w:ascii="Segoe UI" w:hAnsi="Segoe UI" w:cs="Segoe UI"/>
      <w:sz w:val="18"/>
      <w:szCs w:val="18"/>
    </w:rPr>
  </w:style>
  <w:style w:type="table" w:styleId="aa">
    <w:name w:val="Table Grid"/>
    <w:basedOn w:val="a1"/>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445581046">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C695A-F055-4403-AA42-6931B9A33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1902</TotalTime>
  <Pages>3</Pages>
  <Words>3270</Words>
  <Characters>1864</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95</cp:revision>
  <cp:lastPrinted>2020-03-23T07:24:00Z</cp:lastPrinted>
  <dcterms:created xsi:type="dcterms:W3CDTF">2020-03-23T08:04:00Z</dcterms:created>
  <dcterms:modified xsi:type="dcterms:W3CDTF">2020-05-15T12:00:00Z</dcterms:modified>
</cp:coreProperties>
</file>