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86B" w:rsidRPr="00D5479F" w:rsidRDefault="00B8186B" w:rsidP="00C32C07">
      <w:pPr>
        <w:spacing w:after="0" w:line="240" w:lineRule="auto"/>
        <w:ind w:firstLine="709"/>
        <w:rPr>
          <w:szCs w:val="28"/>
        </w:rPr>
      </w:pPr>
    </w:p>
    <w:p w:rsidR="00B8186B" w:rsidRPr="00D5479F" w:rsidRDefault="00B8186B" w:rsidP="00C32C07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D5479F">
        <w:rPr>
          <w:szCs w:val="28"/>
        </w:rPr>
        <w:tab/>
      </w:r>
    </w:p>
    <w:p w:rsidR="00B8186B" w:rsidRPr="00D5479F" w:rsidRDefault="00B8186B" w:rsidP="00C32C0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D5479F" w:rsidRDefault="00B8186B" w:rsidP="00C32C0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D5479F" w:rsidRDefault="00B8186B" w:rsidP="00C32C0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D5479F" w:rsidRDefault="00B8186B" w:rsidP="00C32C0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D5479F" w:rsidRDefault="00B8186B" w:rsidP="00C32C0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D0897" w:rsidRPr="00D5479F" w:rsidRDefault="003D0897" w:rsidP="00C32C0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D5479F" w:rsidRDefault="00B8186B" w:rsidP="0087231A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D5479F">
        <w:rPr>
          <w:rFonts w:ascii="Times New Roman" w:hAnsi="Times New Roman" w:cs="Times New Roman"/>
        </w:rPr>
        <w:t>ВИСНОВОК</w:t>
      </w:r>
    </w:p>
    <w:p w:rsidR="00AE7C8C" w:rsidRPr="00D5479F" w:rsidRDefault="00B8186B" w:rsidP="0087231A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D5479F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D5479F">
        <w:rPr>
          <w:rFonts w:ascii="Times New Roman" w:hAnsi="Times New Roman" w:cs="Times New Roman"/>
          <w:b/>
          <w:bCs/>
        </w:rPr>
        <w:t>«</w:t>
      </w:r>
      <w:r w:rsidR="00282F96" w:rsidRPr="00D5479F">
        <w:rPr>
          <w:rFonts w:ascii="Times New Roman" w:hAnsi="Times New Roman" w:cs="Times New Roman"/>
          <w:b/>
          <w:bCs/>
        </w:rPr>
        <w:t xml:space="preserve">Проект Закону про приватну </w:t>
      </w:r>
    </w:p>
    <w:p w:rsidR="00B8186B" w:rsidRPr="00D5479F" w:rsidRDefault="00282F96" w:rsidP="0087231A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D5479F">
        <w:rPr>
          <w:rFonts w:ascii="Times New Roman" w:hAnsi="Times New Roman" w:cs="Times New Roman"/>
          <w:b/>
          <w:bCs/>
        </w:rPr>
        <w:t>детективну діяльність</w:t>
      </w:r>
      <w:r w:rsidR="00FE13B1" w:rsidRPr="00D5479F">
        <w:rPr>
          <w:rFonts w:ascii="Times New Roman" w:hAnsi="Times New Roman" w:cs="Times New Roman"/>
          <w:b/>
          <w:bCs/>
        </w:rPr>
        <w:t>»</w:t>
      </w:r>
    </w:p>
    <w:p w:rsidR="00B8186B" w:rsidRPr="00D5479F" w:rsidRDefault="00B8186B" w:rsidP="00C32C07">
      <w:pPr>
        <w:pStyle w:val="a3"/>
        <w:ind w:firstLine="709"/>
        <w:rPr>
          <w:rFonts w:ascii="Times New Roman" w:hAnsi="Times New Roman" w:cs="Times New Roman"/>
        </w:rPr>
      </w:pPr>
    </w:p>
    <w:p w:rsidR="004661A9" w:rsidRPr="00D5479F" w:rsidRDefault="004661A9" w:rsidP="004661A9">
      <w:pPr>
        <w:spacing w:after="0" w:line="240" w:lineRule="auto"/>
        <w:ind w:firstLine="709"/>
        <w:jc w:val="both"/>
      </w:pPr>
      <w:r w:rsidRPr="00D5479F">
        <w:t xml:space="preserve">У проекті пропонується визначити загальні правові засади та встановити основні правила щодо здійснення детективної діяльності. </w:t>
      </w:r>
    </w:p>
    <w:p w:rsidR="004661A9" w:rsidRPr="009D0AA6" w:rsidRDefault="004661A9" w:rsidP="004661A9">
      <w:pPr>
        <w:spacing w:after="0" w:line="240" w:lineRule="auto"/>
        <w:ind w:firstLine="709"/>
        <w:jc w:val="both"/>
      </w:pPr>
      <w:r w:rsidRPr="00D5479F">
        <w:t>Як вказується у пояснювальній записці до проекту, в Україні у даний час цей вид послуг на законодавчому рівні досі не визначений. Разом з тим, детективна діяльність зазначена у КВЕД – 2010 як один з видів господарської діяльності.</w:t>
      </w:r>
    </w:p>
    <w:p w:rsidR="004661A9" w:rsidRPr="00D5479F" w:rsidRDefault="004661A9" w:rsidP="004661A9">
      <w:pPr>
        <w:spacing w:after="0" w:line="240" w:lineRule="auto"/>
        <w:ind w:firstLine="709"/>
        <w:jc w:val="both"/>
        <w:rPr>
          <w:szCs w:val="28"/>
        </w:rPr>
      </w:pPr>
      <w:r w:rsidRPr="00D5479F">
        <w:t xml:space="preserve">Прийняття Закону України «Про детективні послуги», на думку ініціаторів законопроекту, </w:t>
      </w:r>
      <w:r w:rsidRPr="00D5479F">
        <w:rPr>
          <w:szCs w:val="28"/>
        </w:rPr>
        <w:t>дозволить на законодавчому рівні поставити такий вид діяльності під належний контроль держави</w:t>
      </w:r>
      <w:r w:rsidR="00D40D7E" w:rsidRPr="00D5479F">
        <w:rPr>
          <w:szCs w:val="28"/>
        </w:rPr>
        <w:t xml:space="preserve">, підтвердити </w:t>
      </w:r>
      <w:r w:rsidRPr="00D5479F">
        <w:rPr>
          <w:szCs w:val="28"/>
        </w:rPr>
        <w:t xml:space="preserve">прихильність </w:t>
      </w:r>
      <w:r w:rsidR="00D40D7E" w:rsidRPr="00D5479F">
        <w:rPr>
          <w:szCs w:val="28"/>
        </w:rPr>
        <w:t xml:space="preserve">України </w:t>
      </w:r>
      <w:r w:rsidRPr="00D5479F">
        <w:rPr>
          <w:szCs w:val="28"/>
        </w:rPr>
        <w:t>європейському курсу та підвищит</w:t>
      </w:r>
      <w:r w:rsidR="00D40D7E" w:rsidRPr="00D5479F">
        <w:rPr>
          <w:szCs w:val="28"/>
        </w:rPr>
        <w:t>и власний</w:t>
      </w:r>
      <w:r w:rsidRPr="00D5479F">
        <w:rPr>
          <w:szCs w:val="28"/>
        </w:rPr>
        <w:t xml:space="preserve"> імідж, як правової держави серед цивілізованих країн світу</w:t>
      </w:r>
      <w:r w:rsidR="00D40D7E" w:rsidRPr="00D5479F">
        <w:rPr>
          <w:szCs w:val="28"/>
        </w:rPr>
        <w:t xml:space="preserve"> (див. пояснювальну записку до законопроекту)</w:t>
      </w:r>
      <w:r w:rsidRPr="00D5479F">
        <w:rPr>
          <w:szCs w:val="28"/>
        </w:rPr>
        <w:t xml:space="preserve">. </w:t>
      </w:r>
    </w:p>
    <w:p w:rsidR="004661A9" w:rsidRPr="00D5479F" w:rsidRDefault="0007719F" w:rsidP="004661A9">
      <w:pPr>
        <w:spacing w:after="0" w:line="240" w:lineRule="auto"/>
        <w:ind w:firstLine="709"/>
        <w:jc w:val="both"/>
      </w:pPr>
      <w:r>
        <w:t>Головне</w:t>
      </w:r>
      <w:r w:rsidR="004661A9" w:rsidRPr="00D5479F">
        <w:t xml:space="preserve"> управління, проаналізувавши законопроект, вважає за </w:t>
      </w:r>
      <w:r w:rsidR="00382262">
        <w:t xml:space="preserve"> </w:t>
      </w:r>
      <w:r w:rsidR="004661A9" w:rsidRPr="00D5479F">
        <w:t>необхідне висловити такі пропозиції і зауваження до його змісту.</w:t>
      </w:r>
    </w:p>
    <w:p w:rsidR="00D5479F" w:rsidRPr="00D5479F" w:rsidRDefault="00D5479F" w:rsidP="00C07886">
      <w:pPr>
        <w:spacing w:after="0" w:line="240" w:lineRule="auto"/>
        <w:ind w:firstLine="720"/>
        <w:jc w:val="both"/>
        <w:rPr>
          <w:b/>
          <w:color w:val="000000"/>
        </w:rPr>
      </w:pPr>
    </w:p>
    <w:p w:rsidR="00D5479F" w:rsidRPr="0007719F" w:rsidRDefault="00D5479F" w:rsidP="00C07886">
      <w:pPr>
        <w:spacing w:after="0" w:line="240" w:lineRule="auto"/>
        <w:ind w:firstLine="720"/>
        <w:jc w:val="both"/>
        <w:rPr>
          <w:b/>
          <w:i/>
          <w:color w:val="000000"/>
        </w:rPr>
      </w:pPr>
      <w:r w:rsidRPr="0007719F">
        <w:rPr>
          <w:b/>
          <w:i/>
          <w:color w:val="000000"/>
        </w:rPr>
        <w:t xml:space="preserve">Зауваження </w:t>
      </w:r>
      <w:r w:rsidR="005806E9" w:rsidRPr="0007719F">
        <w:rPr>
          <w:b/>
          <w:i/>
          <w:color w:val="000000"/>
        </w:rPr>
        <w:t xml:space="preserve">та пропозиції </w:t>
      </w:r>
      <w:r w:rsidRPr="0007719F">
        <w:rPr>
          <w:b/>
          <w:i/>
          <w:color w:val="000000"/>
        </w:rPr>
        <w:t>щодо законопроекту в цілому</w:t>
      </w:r>
    </w:p>
    <w:p w:rsidR="00C07886" w:rsidRPr="00D5479F" w:rsidRDefault="004661A9" w:rsidP="00C07886">
      <w:pPr>
        <w:spacing w:after="0" w:line="240" w:lineRule="auto"/>
        <w:ind w:firstLine="720"/>
        <w:jc w:val="both"/>
        <w:rPr>
          <w:color w:val="000000"/>
        </w:rPr>
      </w:pPr>
      <w:r w:rsidRPr="0007719F">
        <w:rPr>
          <w:b/>
          <w:color w:val="000000"/>
        </w:rPr>
        <w:t>1</w:t>
      </w:r>
      <w:r w:rsidRPr="0007719F">
        <w:rPr>
          <w:b/>
          <w:bCs/>
          <w:color w:val="000000"/>
        </w:rPr>
        <w:t>.</w:t>
      </w:r>
      <w:r w:rsidRPr="0007719F">
        <w:rPr>
          <w:color w:val="000000"/>
        </w:rPr>
        <w:t xml:space="preserve"> </w:t>
      </w:r>
      <w:r w:rsidR="00C07886" w:rsidRPr="0007719F">
        <w:rPr>
          <w:color w:val="000000"/>
        </w:rPr>
        <w:t>Аналіз положень ст</w:t>
      </w:r>
      <w:r w:rsidR="0066703B" w:rsidRPr="0007719F">
        <w:rPr>
          <w:color w:val="000000"/>
        </w:rPr>
        <w:t>.</w:t>
      </w:r>
      <w:r w:rsidR="00C07886" w:rsidRPr="0007719F">
        <w:rPr>
          <w:color w:val="000000"/>
        </w:rPr>
        <w:t xml:space="preserve"> 15 проекту, якою визначаються права суб’єктів приватної детективної діяльності, </w:t>
      </w:r>
      <w:r w:rsidR="001F4A91" w:rsidRPr="0007719F">
        <w:rPr>
          <w:color w:val="000000"/>
        </w:rPr>
        <w:t>свідчить про те,</w:t>
      </w:r>
      <w:r w:rsidR="00C07886" w:rsidRPr="0007719F">
        <w:rPr>
          <w:color w:val="000000"/>
        </w:rPr>
        <w:t xml:space="preserve"> що приватним детективам фактично не надається якихось прав, яких не має звичайний громадянин відповідно до положень чинного законодавства. Можна констатувати, що діяльність приватних детективів у рамках прав, наданих законопроектом, мало чим відрізнятиметься від надання послуг за договором доручення, про який йдеться у ст. 1000 Цивільного кодексу України (далі – ЦК), або від звичайного представництва (ст.</w:t>
      </w:r>
      <w:r w:rsidR="009D0AA6" w:rsidRPr="0007719F">
        <w:rPr>
          <w:color w:val="000000"/>
        </w:rPr>
        <w:t xml:space="preserve"> </w:t>
      </w:r>
      <w:r w:rsidR="00C07886" w:rsidRPr="0007719F">
        <w:rPr>
          <w:color w:val="000000"/>
        </w:rPr>
        <w:t>ст. 237-250 ЦК). З огляду на це стає незрозумілим, у чому ж відповідно до законопроекту полягає специфіка детективної діяльності і якими поважними причинами зумовлюється встановлення заходів державного контролю за діяльністю детективів (особлива процедура допуску до за</w:t>
      </w:r>
      <w:r w:rsidR="001F4A91" w:rsidRPr="0007719F">
        <w:rPr>
          <w:color w:val="000000"/>
        </w:rPr>
        <w:t>й</w:t>
      </w:r>
      <w:r w:rsidR="00C07886" w:rsidRPr="0007719F">
        <w:rPr>
          <w:color w:val="000000"/>
        </w:rPr>
        <w:t>няття цією діяльністю у розділі ІІ законопро</w:t>
      </w:r>
      <w:r w:rsidR="00C07886" w:rsidRPr="00D5479F">
        <w:rPr>
          <w:color w:val="000000"/>
        </w:rPr>
        <w:t xml:space="preserve">екту, контроль з боку </w:t>
      </w:r>
      <w:r w:rsidR="00C07886" w:rsidRPr="00D5479F">
        <w:t>Уповноваженого органу</w:t>
      </w:r>
      <w:r w:rsidR="009D0AA6">
        <w:t>,</w:t>
      </w:r>
      <w:r w:rsidR="00C07886" w:rsidRPr="00D5479F">
        <w:t xml:space="preserve"> визначеного Кабінетом Міністрів України</w:t>
      </w:r>
      <w:r w:rsidR="00C07886" w:rsidRPr="00D5479F">
        <w:rPr>
          <w:color w:val="000000"/>
        </w:rPr>
        <w:t xml:space="preserve">, передбачений </w:t>
      </w:r>
      <w:r w:rsidR="004D4D06">
        <w:rPr>
          <w:color w:val="000000"/>
        </w:rPr>
        <w:t xml:space="preserve">                                   </w:t>
      </w:r>
      <w:r w:rsidR="00C07886" w:rsidRPr="00D5479F">
        <w:rPr>
          <w:color w:val="000000"/>
        </w:rPr>
        <w:t xml:space="preserve">ст. 21 законопроекту, існування комісії </w:t>
      </w:r>
      <w:r w:rsidR="00C07886" w:rsidRPr="00D5479F">
        <w:t>щодо розгляду скарг на дії приватних детективів</w:t>
      </w:r>
      <w:r w:rsidR="00C07886" w:rsidRPr="00D5479F">
        <w:rPr>
          <w:b/>
        </w:rPr>
        <w:t xml:space="preserve"> </w:t>
      </w:r>
      <w:r w:rsidR="00C07886" w:rsidRPr="00D5479F">
        <w:rPr>
          <w:bCs/>
        </w:rPr>
        <w:t>(ст. 22 проекту)</w:t>
      </w:r>
      <w:r w:rsidR="00C07886" w:rsidRPr="00D5479F">
        <w:rPr>
          <w:b/>
        </w:rPr>
        <w:t xml:space="preserve"> </w:t>
      </w:r>
      <w:r w:rsidR="00C07886" w:rsidRPr="00D5479F">
        <w:rPr>
          <w:color w:val="000000"/>
        </w:rPr>
        <w:t>тощо).</w:t>
      </w:r>
    </w:p>
    <w:p w:rsidR="00C07886" w:rsidRPr="0007719F" w:rsidRDefault="00C07886" w:rsidP="00C07886">
      <w:pPr>
        <w:spacing w:after="0" w:line="240" w:lineRule="auto"/>
        <w:ind w:firstLine="720"/>
        <w:jc w:val="both"/>
        <w:rPr>
          <w:color w:val="000000"/>
        </w:rPr>
      </w:pPr>
      <w:r w:rsidRPr="00D5479F">
        <w:rPr>
          <w:b/>
          <w:bCs/>
          <w:color w:val="000000"/>
        </w:rPr>
        <w:lastRenderedPageBreak/>
        <w:t>2.</w:t>
      </w:r>
      <w:r w:rsidRPr="00D5479F">
        <w:rPr>
          <w:color w:val="000000"/>
        </w:rPr>
        <w:t xml:space="preserve"> </w:t>
      </w:r>
      <w:r w:rsidR="009D0AA6">
        <w:rPr>
          <w:color w:val="000000"/>
        </w:rPr>
        <w:t>В</w:t>
      </w:r>
      <w:r w:rsidRPr="00D5479F">
        <w:rPr>
          <w:color w:val="000000"/>
        </w:rPr>
        <w:t xml:space="preserve"> </w:t>
      </w:r>
      <w:proofErr w:type="spellStart"/>
      <w:r w:rsidRPr="00D5479F">
        <w:rPr>
          <w:color w:val="000000"/>
        </w:rPr>
        <w:t>абз</w:t>
      </w:r>
      <w:proofErr w:type="spellEnd"/>
      <w:r w:rsidRPr="00D5479F">
        <w:rPr>
          <w:color w:val="000000"/>
        </w:rPr>
        <w:t xml:space="preserve">. 2 ч. 5 ст. 8 законопроекту передбачається, що за видачу свідоцтва про право на зайняття приватною детективною діяльністю справляється разова плата в розмірі одного прожиткового мінімуму для працездатних осіб на 1 січня поточного календарного року. На нашу думку, доцільніше передбачити, що розмір та порядок здійснення такої оплати встановлюється Кабінетом Міністрів України, адже </w:t>
      </w:r>
      <w:r w:rsidRPr="0007719F">
        <w:rPr>
          <w:color w:val="000000"/>
        </w:rPr>
        <w:t xml:space="preserve">такий порядок забезпечить більш динамічне реагування на зміну </w:t>
      </w:r>
      <w:r w:rsidR="0007719F" w:rsidRPr="0007719F">
        <w:rPr>
          <w:color w:val="000000"/>
        </w:rPr>
        <w:t>економічних</w:t>
      </w:r>
      <w:r w:rsidRPr="0007719F">
        <w:rPr>
          <w:color w:val="000000"/>
        </w:rPr>
        <w:t xml:space="preserve"> реалій країни.</w:t>
      </w:r>
    </w:p>
    <w:p w:rsidR="00D5479F" w:rsidRDefault="00D5479F" w:rsidP="00C07886">
      <w:pPr>
        <w:spacing w:after="0" w:line="240" w:lineRule="auto"/>
        <w:ind w:firstLine="720"/>
        <w:jc w:val="both"/>
        <w:rPr>
          <w:color w:val="000000"/>
        </w:rPr>
      </w:pPr>
    </w:p>
    <w:p w:rsidR="00A87892" w:rsidRPr="00A87892" w:rsidRDefault="00A87892" w:rsidP="00A87892">
      <w:pPr>
        <w:spacing w:after="0" w:line="240" w:lineRule="auto"/>
        <w:ind w:firstLine="720"/>
        <w:jc w:val="both"/>
        <w:rPr>
          <w:color w:val="000000"/>
        </w:rPr>
      </w:pPr>
      <w:r w:rsidRPr="00A87892">
        <w:rPr>
          <w:b/>
          <w:i/>
          <w:color w:val="000000"/>
        </w:rPr>
        <w:t>Щодо змін до Кримінального кодексу України (далі – КК)</w:t>
      </w:r>
      <w:r w:rsidR="00034886">
        <w:rPr>
          <w:b/>
          <w:i/>
          <w:color w:val="000000"/>
        </w:rPr>
        <w:t xml:space="preserve">                                </w:t>
      </w:r>
      <w:bookmarkStart w:id="0" w:name="_GoBack"/>
      <w:bookmarkEnd w:id="0"/>
      <w:r>
        <w:rPr>
          <w:color w:val="000000"/>
        </w:rPr>
        <w:t xml:space="preserve"> </w:t>
      </w:r>
      <w:r>
        <w:rPr>
          <w:b/>
          <w:i/>
          <w:color w:val="000000"/>
        </w:rPr>
        <w:t>(</w:t>
      </w:r>
      <w:proofErr w:type="spellStart"/>
      <w:r>
        <w:rPr>
          <w:b/>
          <w:i/>
          <w:color w:val="000000"/>
        </w:rPr>
        <w:t>пп</w:t>
      </w:r>
      <w:proofErr w:type="spellEnd"/>
      <w:r>
        <w:rPr>
          <w:b/>
          <w:i/>
          <w:color w:val="000000"/>
        </w:rPr>
        <w:t>. 1 п. 2 р</w:t>
      </w:r>
      <w:r w:rsidRPr="00D5479F">
        <w:rPr>
          <w:b/>
          <w:i/>
          <w:color w:val="000000"/>
        </w:rPr>
        <w:t>озділ</w:t>
      </w:r>
      <w:r>
        <w:rPr>
          <w:b/>
          <w:i/>
          <w:color w:val="000000"/>
        </w:rPr>
        <w:t>у</w:t>
      </w:r>
      <w:r w:rsidRPr="00D5479F">
        <w:rPr>
          <w:b/>
          <w:i/>
          <w:color w:val="000000"/>
        </w:rPr>
        <w:t xml:space="preserve"> V </w:t>
      </w:r>
      <w:r>
        <w:rPr>
          <w:b/>
          <w:i/>
          <w:color w:val="000000"/>
        </w:rPr>
        <w:t>«П</w:t>
      </w:r>
      <w:r w:rsidRPr="00D5479F">
        <w:rPr>
          <w:b/>
          <w:i/>
          <w:color w:val="000000"/>
        </w:rPr>
        <w:t>рикінцеві та перехідні положення</w:t>
      </w:r>
      <w:r>
        <w:rPr>
          <w:b/>
          <w:i/>
          <w:color w:val="000000"/>
        </w:rPr>
        <w:t>»)</w:t>
      </w:r>
    </w:p>
    <w:p w:rsidR="00A87892" w:rsidRDefault="00A87892" w:rsidP="00A87892">
      <w:pPr>
        <w:spacing w:after="0" w:line="240" w:lineRule="auto"/>
        <w:ind w:firstLine="720"/>
        <w:jc w:val="both"/>
        <w:rPr>
          <w:color w:val="000000"/>
        </w:rPr>
      </w:pPr>
      <w:r w:rsidRPr="00A87892">
        <w:rPr>
          <w:color w:val="000000"/>
        </w:rPr>
        <w:t xml:space="preserve">У </w:t>
      </w:r>
      <w:r>
        <w:rPr>
          <w:color w:val="000000"/>
        </w:rPr>
        <w:t xml:space="preserve">проекті </w:t>
      </w:r>
      <w:r w:rsidRPr="00A87892">
        <w:rPr>
          <w:color w:val="000000"/>
        </w:rPr>
        <w:t xml:space="preserve">пропонується передбачити кримінальну відповідальність за </w:t>
      </w:r>
      <w:r w:rsidRPr="00A87892">
        <w:rPr>
          <w:i/>
          <w:color w:val="000000"/>
        </w:rPr>
        <w:t>незаконне розголошення детективної таємниці</w:t>
      </w:r>
      <w:r w:rsidRPr="00A87892">
        <w:rPr>
          <w:color w:val="000000"/>
        </w:rPr>
        <w:t xml:space="preserve"> (ст. 182-1 КК у редакції проекту). При цьому, </w:t>
      </w:r>
      <w:r w:rsidRPr="00A87892">
        <w:rPr>
          <w:i/>
          <w:color w:val="000000"/>
          <w:u w:val="single"/>
        </w:rPr>
        <w:t>детективною таємницею</w:t>
      </w:r>
      <w:r w:rsidRPr="00A87892">
        <w:rPr>
          <w:color w:val="000000"/>
        </w:rPr>
        <w:t xml:space="preserve"> є захищена згідно із законом інформація, яка стала відомою приватному детективу у зв’язку з наданням ним приватних дете</w:t>
      </w:r>
      <w:r w:rsidR="009D0AA6">
        <w:rPr>
          <w:color w:val="000000"/>
        </w:rPr>
        <w:t>ктивних послуг і не є державною таємницею</w:t>
      </w:r>
      <w:r w:rsidRPr="00A87892">
        <w:rPr>
          <w:color w:val="000000"/>
        </w:rPr>
        <w:t xml:space="preserve"> або іншою конфіденційною інформацією, визначеною законами України (п. 1 ч. 1 ст. 1 </w:t>
      </w:r>
      <w:r>
        <w:rPr>
          <w:color w:val="000000"/>
        </w:rPr>
        <w:t>законопроекту</w:t>
      </w:r>
      <w:r w:rsidRPr="00A87892">
        <w:rPr>
          <w:color w:val="000000"/>
        </w:rPr>
        <w:t xml:space="preserve">). У свою чергу, до </w:t>
      </w:r>
      <w:r w:rsidRPr="00A87892">
        <w:rPr>
          <w:i/>
          <w:color w:val="000000"/>
        </w:rPr>
        <w:t>відомостей, що становлять детективну таємницю</w:t>
      </w:r>
      <w:r w:rsidRPr="00A87892">
        <w:rPr>
          <w:color w:val="000000"/>
        </w:rPr>
        <w:t xml:space="preserve">, відноситься інформація з питань, щодо яких здійснювалася приватна детективна діяльність, та відомості, що стосуються особистого життя, честі, гідності людини та громадянина (ч. 1 ст. 18 </w:t>
      </w:r>
      <w:r>
        <w:rPr>
          <w:color w:val="000000"/>
        </w:rPr>
        <w:t>законо</w:t>
      </w:r>
      <w:r w:rsidRPr="00A87892">
        <w:rPr>
          <w:color w:val="000000"/>
        </w:rPr>
        <w:t xml:space="preserve">проекту). </w:t>
      </w:r>
    </w:p>
    <w:p w:rsidR="00CF2EAE" w:rsidRDefault="00A87892" w:rsidP="00A87892">
      <w:pPr>
        <w:spacing w:after="0" w:line="240" w:lineRule="auto"/>
        <w:ind w:firstLine="720"/>
        <w:jc w:val="both"/>
        <w:rPr>
          <w:color w:val="000000"/>
        </w:rPr>
      </w:pPr>
      <w:r w:rsidRPr="00A87892">
        <w:rPr>
          <w:color w:val="000000"/>
        </w:rPr>
        <w:t xml:space="preserve">Системний аналіз вказаних понять дозволяє дійти висновку, що детективна таємниця являє собою будь-які відомості, якими користується детектив у процесі та у зв’язку з виконанням своїх професійних обов’язків, які забороняється розголошувати у будь-якій формі (крім випадків, інформування правоохоронних органів про факти вчинення тяжкого або особливо тяжкого кримінального правопорушення або про готування до вчинення такого кримінального правопорушення, що стала відома у процесі здійснення приватної детективної діяльності (п. 1 ч. 2 ст. 16 </w:t>
      </w:r>
      <w:r>
        <w:rPr>
          <w:color w:val="000000"/>
        </w:rPr>
        <w:t>законо</w:t>
      </w:r>
      <w:r w:rsidRPr="00A87892">
        <w:rPr>
          <w:color w:val="000000"/>
        </w:rPr>
        <w:t xml:space="preserve">проекту)). Тобто, детективна таємниця у даному випадку фактично є різновидом професійної таємниці. </w:t>
      </w:r>
    </w:p>
    <w:p w:rsidR="00A87892" w:rsidRPr="0007719F" w:rsidRDefault="00A87892" w:rsidP="00A87892">
      <w:pPr>
        <w:spacing w:after="0" w:line="240" w:lineRule="auto"/>
        <w:ind w:firstLine="720"/>
        <w:jc w:val="both"/>
        <w:rPr>
          <w:color w:val="000000"/>
        </w:rPr>
      </w:pPr>
      <w:r w:rsidRPr="00A87892">
        <w:rPr>
          <w:color w:val="000000"/>
        </w:rPr>
        <w:t xml:space="preserve">Однак за таким критерієм виділяють й адвокатську, нотаріальну, страхову, лікарську, журналістську та деякі інші види таємниці. Наприклад, обов’язок зберігати адвокатську таємницю поширюється на адвоката, його помічника, стажиста та осіб, які перебувають у трудових відносинах з адвокатом, адвокатським бюро, адвокатським об’єднанням, а також на особу, стосовно якої припинено або </w:t>
      </w:r>
      <w:proofErr w:type="spellStart"/>
      <w:r w:rsidRPr="00A87892">
        <w:rPr>
          <w:color w:val="000000"/>
        </w:rPr>
        <w:t>зупинено</w:t>
      </w:r>
      <w:proofErr w:type="spellEnd"/>
      <w:r w:rsidRPr="00A87892">
        <w:rPr>
          <w:color w:val="000000"/>
        </w:rPr>
        <w:t xml:space="preserve"> право на заняття адвокатською діяльністю (ст. 22 Закону України «Про адвокатуру та адвокатську діяльність»). Розголошення адвокатської таємниці або вчинення дій, що призвели до її розголошення, визнається дисциплінарним проступком та є підставою для притягнення адвоката до дисциплінарної відповідальності </w:t>
      </w:r>
      <w:r w:rsidR="00CF2EAE">
        <w:rPr>
          <w:color w:val="000000"/>
        </w:rPr>
        <w:br/>
      </w:r>
      <w:r w:rsidRPr="00A87892">
        <w:rPr>
          <w:color w:val="000000"/>
        </w:rPr>
        <w:t>(ст. 34 Закону України «Про адвокатуру та адвокатську діяльність»).</w:t>
      </w:r>
      <w:r w:rsidR="00E04237">
        <w:rPr>
          <w:color w:val="000000"/>
        </w:rPr>
        <w:t xml:space="preserve">                              </w:t>
      </w:r>
      <w:r w:rsidRPr="00A87892">
        <w:rPr>
          <w:color w:val="000000"/>
        </w:rPr>
        <w:t xml:space="preserve"> У випадку доведення вини адвоката, який розголосив адвокатську таємницю, застосовується </w:t>
      </w:r>
      <w:r w:rsidRPr="0007719F">
        <w:rPr>
          <w:color w:val="000000"/>
        </w:rPr>
        <w:t>найсуворіший вид дисциплінарного стягнення у виді позбавлення права на за</w:t>
      </w:r>
      <w:r w:rsidR="007803A0" w:rsidRPr="0007719F">
        <w:rPr>
          <w:color w:val="000000"/>
        </w:rPr>
        <w:t>й</w:t>
      </w:r>
      <w:r w:rsidRPr="0007719F">
        <w:rPr>
          <w:color w:val="000000"/>
        </w:rPr>
        <w:t xml:space="preserve">няття адвокатською діяльністю з наступним </w:t>
      </w:r>
      <w:r w:rsidRPr="0007719F">
        <w:rPr>
          <w:color w:val="000000"/>
        </w:rPr>
        <w:lastRenderedPageBreak/>
        <w:t xml:space="preserve">виключенням з Єдиного реєстру адвокатів України. </w:t>
      </w:r>
      <w:r w:rsidR="00CF2EAE" w:rsidRPr="0007719F">
        <w:rPr>
          <w:color w:val="000000"/>
        </w:rPr>
        <w:t>При цьому</w:t>
      </w:r>
      <w:r w:rsidR="005C5C34" w:rsidRPr="0007719F">
        <w:rPr>
          <w:color w:val="000000"/>
        </w:rPr>
        <w:t>,</w:t>
      </w:r>
      <w:r w:rsidRPr="0007719F">
        <w:rPr>
          <w:color w:val="000000"/>
        </w:rPr>
        <w:t xml:space="preserve"> кримінальне законодавство України не передбачає криміна</w:t>
      </w:r>
      <w:r w:rsidRPr="00A87892">
        <w:rPr>
          <w:color w:val="000000"/>
        </w:rPr>
        <w:t>льної відповідальності за незаконне розголошення адвокатської таємниці (якщо відомості, що становлять а</w:t>
      </w:r>
      <w:r w:rsidRPr="0007719F">
        <w:rPr>
          <w:color w:val="000000"/>
        </w:rPr>
        <w:t>двокатську таємницю, не підпадають, наприклад, під комерційну або банківську таємниці</w:t>
      </w:r>
      <w:r w:rsidR="0007719F" w:rsidRPr="0007719F">
        <w:rPr>
          <w:color w:val="000000"/>
        </w:rPr>
        <w:t xml:space="preserve"> </w:t>
      </w:r>
      <w:r w:rsidRPr="0007719F">
        <w:rPr>
          <w:color w:val="000000"/>
        </w:rPr>
        <w:t>тощо).</w:t>
      </w:r>
    </w:p>
    <w:p w:rsidR="00A87892" w:rsidRPr="00A87892" w:rsidRDefault="009D0AA6" w:rsidP="00A87892">
      <w:pPr>
        <w:spacing w:after="0" w:line="240" w:lineRule="auto"/>
        <w:ind w:firstLine="720"/>
        <w:jc w:val="both"/>
        <w:rPr>
          <w:color w:val="000000"/>
        </w:rPr>
      </w:pPr>
      <w:r w:rsidRPr="0007719F">
        <w:rPr>
          <w:color w:val="000000"/>
        </w:rPr>
        <w:t>Оскільки</w:t>
      </w:r>
      <w:r w:rsidR="00A87892" w:rsidRPr="0007719F">
        <w:rPr>
          <w:color w:val="000000"/>
        </w:rPr>
        <w:t xml:space="preserve"> детективи</w:t>
      </w:r>
      <w:r w:rsidR="00A87892" w:rsidRPr="00A87892">
        <w:rPr>
          <w:color w:val="000000"/>
        </w:rPr>
        <w:t xml:space="preserve"> в багатьох аспектах будуть наділені правами, аналогічними повноваженням адвоката (скажімо, отримають право звертатися із запитами до органів державної влади, органів місцевого самоврядування, їхніх посадових і службових осіб, підприємств, установ, організацій, громадських об'єднань, а також до фізичних осіб; отримувати на договірній основі письмові висновки та усні консультації фахівців та експертів з питань, що потребують спеціальних знань), а також те, що як детективна, так і адвокатська діяльність є незалежними видами професійної діяльності відповідних осіб, важливою складовою якої є необхідність збереження ними конфіденційної інформації про клієнтів, </w:t>
      </w:r>
      <w:r w:rsidR="00A87892" w:rsidRPr="00BE70F5">
        <w:rPr>
          <w:i/>
          <w:color w:val="000000"/>
        </w:rPr>
        <w:t>такі діаметрально протилежні підходи щодо міри відповідальності за незаконне розголошення адвокатської/ детективної таємниці є необґрунтованими</w:t>
      </w:r>
      <w:r w:rsidR="00A87892" w:rsidRPr="00A87892">
        <w:rPr>
          <w:color w:val="000000"/>
        </w:rPr>
        <w:t xml:space="preserve">. </w:t>
      </w:r>
    </w:p>
    <w:p w:rsidR="00A87892" w:rsidRPr="00D5479F" w:rsidRDefault="00A87892" w:rsidP="00C07886">
      <w:pPr>
        <w:spacing w:after="0" w:line="240" w:lineRule="auto"/>
        <w:ind w:firstLine="720"/>
        <w:jc w:val="both"/>
        <w:rPr>
          <w:color w:val="000000"/>
        </w:rPr>
      </w:pPr>
    </w:p>
    <w:p w:rsidR="00D5479F" w:rsidRPr="00D5479F" w:rsidRDefault="00D5479F" w:rsidP="00D5479F">
      <w:pPr>
        <w:spacing w:after="0" w:line="240" w:lineRule="auto"/>
        <w:ind w:firstLine="720"/>
        <w:jc w:val="both"/>
        <w:rPr>
          <w:b/>
          <w:i/>
          <w:color w:val="000000"/>
        </w:rPr>
      </w:pPr>
      <w:r w:rsidRPr="00D5479F">
        <w:rPr>
          <w:b/>
          <w:i/>
          <w:color w:val="000000"/>
        </w:rPr>
        <w:t>Щодо змін до Кримінального процесуально</w:t>
      </w:r>
      <w:r>
        <w:rPr>
          <w:b/>
          <w:i/>
          <w:color w:val="000000"/>
        </w:rPr>
        <w:t xml:space="preserve">го кодексу України </w:t>
      </w:r>
      <w:r w:rsidR="00AA53E0">
        <w:rPr>
          <w:b/>
          <w:i/>
          <w:color w:val="000000"/>
        </w:rPr>
        <w:t xml:space="preserve">                     </w:t>
      </w:r>
      <w:r>
        <w:rPr>
          <w:b/>
          <w:i/>
          <w:color w:val="000000"/>
        </w:rPr>
        <w:t>(далі – КПК) (</w:t>
      </w:r>
      <w:proofErr w:type="spellStart"/>
      <w:r>
        <w:rPr>
          <w:b/>
          <w:i/>
          <w:color w:val="000000"/>
        </w:rPr>
        <w:t>пп</w:t>
      </w:r>
      <w:proofErr w:type="spellEnd"/>
      <w:r>
        <w:rPr>
          <w:b/>
          <w:i/>
          <w:color w:val="000000"/>
        </w:rPr>
        <w:t>. 2</w:t>
      </w:r>
      <w:r w:rsidR="00A87892">
        <w:rPr>
          <w:b/>
          <w:i/>
          <w:color w:val="000000"/>
        </w:rPr>
        <w:t xml:space="preserve"> п. 2</w:t>
      </w:r>
      <w:r>
        <w:rPr>
          <w:b/>
          <w:i/>
          <w:color w:val="000000"/>
        </w:rPr>
        <w:t xml:space="preserve"> р</w:t>
      </w:r>
      <w:r w:rsidRPr="00D5479F">
        <w:rPr>
          <w:b/>
          <w:i/>
          <w:color w:val="000000"/>
        </w:rPr>
        <w:t>озділ</w:t>
      </w:r>
      <w:r>
        <w:rPr>
          <w:b/>
          <w:i/>
          <w:color w:val="000000"/>
        </w:rPr>
        <w:t>у</w:t>
      </w:r>
      <w:r w:rsidRPr="00D5479F">
        <w:rPr>
          <w:b/>
          <w:i/>
          <w:color w:val="000000"/>
        </w:rPr>
        <w:t xml:space="preserve"> V </w:t>
      </w:r>
      <w:r>
        <w:rPr>
          <w:b/>
          <w:i/>
          <w:color w:val="000000"/>
        </w:rPr>
        <w:t>«П</w:t>
      </w:r>
      <w:r w:rsidRPr="00D5479F">
        <w:rPr>
          <w:b/>
          <w:i/>
          <w:color w:val="000000"/>
        </w:rPr>
        <w:t>рикінцеві та перехідні положення</w:t>
      </w:r>
      <w:r>
        <w:rPr>
          <w:b/>
          <w:i/>
          <w:color w:val="000000"/>
        </w:rPr>
        <w:t>»)</w:t>
      </w:r>
    </w:p>
    <w:p w:rsidR="00D5479F" w:rsidRPr="00DE1B98" w:rsidRDefault="00D5479F" w:rsidP="00D5479F">
      <w:pPr>
        <w:spacing w:after="0" w:line="240" w:lineRule="auto"/>
        <w:ind w:firstLine="720"/>
        <w:jc w:val="both"/>
        <w:rPr>
          <w:color w:val="000000"/>
        </w:rPr>
      </w:pPr>
      <w:r>
        <w:rPr>
          <w:color w:val="000000"/>
        </w:rPr>
        <w:t>У законопроекті</w:t>
      </w:r>
      <w:r w:rsidRPr="00D5479F">
        <w:rPr>
          <w:color w:val="000000"/>
        </w:rPr>
        <w:t xml:space="preserve"> пропонується доповни</w:t>
      </w:r>
      <w:r w:rsidR="005806E9">
        <w:rPr>
          <w:color w:val="000000"/>
        </w:rPr>
        <w:t>ти ч. 2 ст. 65 КПК новим п. 12 та вс</w:t>
      </w:r>
      <w:r w:rsidR="005806E9" w:rsidRPr="00DE1B98">
        <w:rPr>
          <w:color w:val="000000"/>
        </w:rPr>
        <w:t xml:space="preserve">тановити, що </w:t>
      </w:r>
      <w:r w:rsidR="005806E9" w:rsidRPr="00DE1B98">
        <w:rPr>
          <w:i/>
          <w:color w:val="000000"/>
        </w:rPr>
        <w:t xml:space="preserve">приватні детективи </w:t>
      </w:r>
      <w:r w:rsidRPr="00DE1B98">
        <w:rPr>
          <w:i/>
          <w:color w:val="000000"/>
        </w:rPr>
        <w:t>не</w:t>
      </w:r>
      <w:r w:rsidR="005806E9" w:rsidRPr="00DE1B98">
        <w:rPr>
          <w:i/>
          <w:color w:val="000000"/>
        </w:rPr>
        <w:t xml:space="preserve"> можуть бути допитані як свідки</w:t>
      </w:r>
      <w:r w:rsidR="005806E9" w:rsidRPr="00DE1B98">
        <w:rPr>
          <w:color w:val="000000"/>
        </w:rPr>
        <w:t>. При цьому</w:t>
      </w:r>
      <w:r w:rsidR="00E0308F" w:rsidRPr="00DE1B98">
        <w:rPr>
          <w:color w:val="000000"/>
        </w:rPr>
        <w:t>,</w:t>
      </w:r>
      <w:r w:rsidR="005806E9" w:rsidRPr="00DE1B98">
        <w:rPr>
          <w:color w:val="000000"/>
        </w:rPr>
        <w:t xml:space="preserve"> у проекті робиться </w:t>
      </w:r>
      <w:r w:rsidR="002D57BD" w:rsidRPr="00DE1B98">
        <w:rPr>
          <w:color w:val="000000"/>
        </w:rPr>
        <w:t>виняток</w:t>
      </w:r>
      <w:r w:rsidR="00DE1B98" w:rsidRPr="00DE1B98">
        <w:rPr>
          <w:color w:val="000000"/>
        </w:rPr>
        <w:t xml:space="preserve"> </w:t>
      </w:r>
      <w:r w:rsidR="005806E9" w:rsidRPr="00DE1B98">
        <w:rPr>
          <w:color w:val="000000"/>
        </w:rPr>
        <w:t xml:space="preserve">із цього правила </w:t>
      </w:r>
      <w:r w:rsidR="002D4F16" w:rsidRPr="00DE1B98">
        <w:rPr>
          <w:color w:val="000000"/>
        </w:rPr>
        <w:t xml:space="preserve">та передбачається, що приватні детективи  можуть бути звільнені від обов’язку зберігати професійну таємницю </w:t>
      </w:r>
      <w:r w:rsidR="002D4F16" w:rsidRPr="00DE1B98">
        <w:rPr>
          <w:i/>
          <w:color w:val="000000"/>
        </w:rPr>
        <w:t>особою, що довірила їм ці відомості</w:t>
      </w:r>
      <w:r w:rsidR="002D4F16" w:rsidRPr="00DE1B98">
        <w:rPr>
          <w:color w:val="000000"/>
        </w:rPr>
        <w:t>, у визначеному нею обсязі. Таке звільнення здійснюється у письмовій формі за підписом особи, що довірила зазначені відомості (</w:t>
      </w:r>
      <w:r w:rsidR="005806E9" w:rsidRPr="00DE1B98">
        <w:rPr>
          <w:color w:val="000000"/>
        </w:rPr>
        <w:t xml:space="preserve">ч. 3 ст. 65 КПК </w:t>
      </w:r>
      <w:r w:rsidR="002D57BD" w:rsidRPr="00DE1B98">
        <w:rPr>
          <w:color w:val="000000"/>
        </w:rPr>
        <w:t>у</w:t>
      </w:r>
      <w:r w:rsidR="005806E9" w:rsidRPr="00DE1B98">
        <w:rPr>
          <w:color w:val="000000"/>
        </w:rPr>
        <w:t xml:space="preserve"> редакції проекту)</w:t>
      </w:r>
      <w:r w:rsidR="002D4F16" w:rsidRPr="00DE1B98">
        <w:rPr>
          <w:color w:val="000000"/>
        </w:rPr>
        <w:t>.</w:t>
      </w:r>
    </w:p>
    <w:p w:rsidR="00D5479F" w:rsidRPr="00D5479F" w:rsidRDefault="002D4F16" w:rsidP="00D5479F">
      <w:pPr>
        <w:spacing w:after="0" w:line="240" w:lineRule="auto"/>
        <w:ind w:firstLine="720"/>
        <w:jc w:val="both"/>
        <w:rPr>
          <w:color w:val="000000"/>
        </w:rPr>
      </w:pPr>
      <w:r w:rsidRPr="00DE1B98">
        <w:rPr>
          <w:color w:val="000000"/>
        </w:rPr>
        <w:t>Із</w:t>
      </w:r>
      <w:r w:rsidR="00D5479F" w:rsidRPr="00DE1B98">
        <w:rPr>
          <w:color w:val="000000"/>
        </w:rPr>
        <w:t xml:space="preserve"> запропонованими</w:t>
      </w:r>
      <w:r w:rsidR="00D5479F" w:rsidRPr="00D5479F">
        <w:rPr>
          <w:color w:val="000000"/>
        </w:rPr>
        <w:t xml:space="preserve"> змінами не можна погодитися з огляду на наступне. </w:t>
      </w:r>
      <w:r>
        <w:rPr>
          <w:color w:val="000000"/>
        </w:rPr>
        <w:t xml:space="preserve"> Ві</w:t>
      </w:r>
      <w:r w:rsidR="00D5479F" w:rsidRPr="00D5479F">
        <w:rPr>
          <w:color w:val="000000"/>
        </w:rPr>
        <w:t xml:space="preserve">дповідно до ч. 1 ст. 65 КПК свідком є фізична особа, якій відомі або можуть бути відомі обставини, що підлягають доказуванню під час кримінального провадження, і яка викликана для давання показань. Частина 2 наведеної статті КПК містить </w:t>
      </w:r>
      <w:r>
        <w:rPr>
          <w:color w:val="000000"/>
        </w:rPr>
        <w:t>вичерпний</w:t>
      </w:r>
      <w:r w:rsidR="00D5479F" w:rsidRPr="00D5479F">
        <w:rPr>
          <w:color w:val="000000"/>
        </w:rPr>
        <w:t xml:space="preserve"> перелік осіб, які не можуть бути допитані в кримінальному процесі як свідки. Відтак на осіб, не визначених у відповідній нормі, такі обмеження не поширюються. Зокрема, вони не поширюються на працівників правоохоронних </w:t>
      </w:r>
      <w:r w:rsidR="00102BB7">
        <w:rPr>
          <w:color w:val="000000"/>
        </w:rPr>
        <w:t xml:space="preserve">та інших уповноважених </w:t>
      </w:r>
      <w:r w:rsidR="00102BB7" w:rsidRPr="00D5479F">
        <w:rPr>
          <w:color w:val="000000"/>
        </w:rPr>
        <w:t>органів</w:t>
      </w:r>
      <w:r w:rsidR="00D5479F" w:rsidRPr="00D5479F">
        <w:rPr>
          <w:color w:val="000000"/>
        </w:rPr>
        <w:t>, які безпосередньо здійснювали слідчі (розшукові) дії або оперативно-розшукову діяльність, осіб, які брали участь у проведенні о</w:t>
      </w:r>
      <w:r w:rsidR="00D5479F" w:rsidRPr="00DE1B98">
        <w:rPr>
          <w:color w:val="000000"/>
        </w:rPr>
        <w:t>кремих слідчих (</w:t>
      </w:r>
      <w:r w:rsidR="00DE1B98" w:rsidRPr="00DE1B98">
        <w:rPr>
          <w:color w:val="000000"/>
        </w:rPr>
        <w:t>розшукових</w:t>
      </w:r>
      <w:r w:rsidR="00D5479F" w:rsidRPr="00DE1B98">
        <w:rPr>
          <w:color w:val="000000"/>
        </w:rPr>
        <w:t xml:space="preserve">) </w:t>
      </w:r>
      <w:r w:rsidR="00D5479F" w:rsidRPr="00D5479F">
        <w:rPr>
          <w:color w:val="000000"/>
        </w:rPr>
        <w:t>дій (поняті, спеціалісти, перекладачі тощо), осіб, які здійснювали законне затримання відповідно до ст. ст. 207</w:t>
      </w:r>
      <w:r>
        <w:rPr>
          <w:color w:val="000000"/>
        </w:rPr>
        <w:t xml:space="preserve"> – </w:t>
      </w:r>
      <w:r w:rsidR="00D5479F" w:rsidRPr="00D5479F">
        <w:rPr>
          <w:color w:val="000000"/>
        </w:rPr>
        <w:t>208 КПК.</w:t>
      </w:r>
    </w:p>
    <w:p w:rsidR="00D5479F" w:rsidRPr="00DE1B98" w:rsidRDefault="00D5479F" w:rsidP="00D5479F">
      <w:pPr>
        <w:spacing w:after="0" w:line="240" w:lineRule="auto"/>
        <w:ind w:firstLine="720"/>
        <w:jc w:val="both"/>
        <w:rPr>
          <w:color w:val="000000"/>
        </w:rPr>
      </w:pPr>
      <w:r w:rsidRPr="00D5479F">
        <w:rPr>
          <w:color w:val="000000"/>
        </w:rPr>
        <w:t xml:space="preserve">Якщо працівники правоохоронних </w:t>
      </w:r>
      <w:r w:rsidR="002D4F16">
        <w:rPr>
          <w:color w:val="000000"/>
        </w:rPr>
        <w:t xml:space="preserve">або інших уповноважених </w:t>
      </w:r>
      <w:r w:rsidR="00B93CF0">
        <w:rPr>
          <w:color w:val="000000"/>
        </w:rPr>
        <w:t>органів</w:t>
      </w:r>
      <w:r w:rsidRPr="00D5479F">
        <w:rPr>
          <w:color w:val="000000"/>
        </w:rPr>
        <w:t xml:space="preserve"> безпосередньо здійснювали слідчі (розшукові) дії або о</w:t>
      </w:r>
      <w:r w:rsidR="00102BB7">
        <w:rPr>
          <w:color w:val="000000"/>
        </w:rPr>
        <w:t>перативно-розшукову діяльн</w:t>
      </w:r>
      <w:r w:rsidR="00102BB7" w:rsidRPr="00DE1B98">
        <w:rPr>
          <w:color w:val="000000"/>
        </w:rPr>
        <w:t>ість (</w:t>
      </w:r>
      <w:r w:rsidRPr="00DE1B98">
        <w:rPr>
          <w:color w:val="000000"/>
        </w:rPr>
        <w:t>тобто</w:t>
      </w:r>
      <w:r w:rsidR="002D4F16" w:rsidRPr="00DE1B98">
        <w:rPr>
          <w:color w:val="000000"/>
        </w:rPr>
        <w:t>,</w:t>
      </w:r>
      <w:r w:rsidRPr="00DE1B98">
        <w:rPr>
          <w:color w:val="000000"/>
        </w:rPr>
        <w:t xml:space="preserve"> вчиняли вказані процесуальні дії в </w:t>
      </w:r>
      <w:r w:rsidR="002D4F16" w:rsidRPr="00DE1B98">
        <w:rPr>
          <w:color w:val="000000"/>
        </w:rPr>
        <w:t>межах</w:t>
      </w:r>
      <w:r w:rsidRPr="00DE1B98">
        <w:rPr>
          <w:color w:val="000000"/>
        </w:rPr>
        <w:t xml:space="preserve"> певного кримінального провадження</w:t>
      </w:r>
      <w:r w:rsidR="00102BB7" w:rsidRPr="00DE1B98">
        <w:rPr>
          <w:color w:val="000000"/>
        </w:rPr>
        <w:t>)</w:t>
      </w:r>
      <w:r w:rsidRPr="00DE1B98">
        <w:rPr>
          <w:color w:val="000000"/>
        </w:rPr>
        <w:t xml:space="preserve">, </w:t>
      </w:r>
      <w:r w:rsidR="00102BB7" w:rsidRPr="00DE1B98">
        <w:rPr>
          <w:color w:val="000000"/>
        </w:rPr>
        <w:t xml:space="preserve">то вони </w:t>
      </w:r>
      <w:r w:rsidRPr="00DE1B98">
        <w:rPr>
          <w:color w:val="000000"/>
        </w:rPr>
        <w:t>підл</w:t>
      </w:r>
      <w:r w:rsidR="002D4F16" w:rsidRPr="00DE1B98">
        <w:rPr>
          <w:color w:val="000000"/>
        </w:rPr>
        <w:t xml:space="preserve">ягають допиту в якості свідків. При </w:t>
      </w:r>
      <w:r w:rsidR="002D4F16" w:rsidRPr="00DE1B98">
        <w:rPr>
          <w:color w:val="000000"/>
        </w:rPr>
        <w:lastRenderedPageBreak/>
        <w:t>цьому</w:t>
      </w:r>
      <w:r w:rsidR="001F3473" w:rsidRPr="00DE1B98">
        <w:rPr>
          <w:color w:val="000000"/>
        </w:rPr>
        <w:t xml:space="preserve">, </w:t>
      </w:r>
      <w:r w:rsidR="002D4F16" w:rsidRPr="00DE1B98">
        <w:rPr>
          <w:color w:val="000000"/>
        </w:rPr>
        <w:t xml:space="preserve">робити </w:t>
      </w:r>
      <w:r w:rsidR="00696651" w:rsidRPr="00DE1B98">
        <w:rPr>
          <w:color w:val="000000"/>
        </w:rPr>
        <w:t>винятки</w:t>
      </w:r>
      <w:r w:rsidR="002D4F16" w:rsidRPr="00DE1B98">
        <w:rPr>
          <w:color w:val="000000"/>
        </w:rPr>
        <w:t xml:space="preserve"> для приватних детективів та</w:t>
      </w:r>
      <w:r w:rsidRPr="00DE1B98">
        <w:rPr>
          <w:color w:val="000000"/>
        </w:rPr>
        <w:t xml:space="preserve"> звільняти</w:t>
      </w:r>
      <w:r w:rsidR="002D4F16" w:rsidRPr="00DE1B98">
        <w:rPr>
          <w:color w:val="000000"/>
        </w:rPr>
        <w:t xml:space="preserve"> їх від такого обов’язку, на наш погляд, є невиправданим законодавчим кроком</w:t>
      </w:r>
      <w:r w:rsidR="00B93CF0" w:rsidRPr="00DE1B98">
        <w:rPr>
          <w:color w:val="000000"/>
        </w:rPr>
        <w:t>.</w:t>
      </w:r>
    </w:p>
    <w:p w:rsidR="00D5479F" w:rsidRDefault="00B93CF0" w:rsidP="00D5479F">
      <w:pPr>
        <w:spacing w:after="0" w:line="240" w:lineRule="auto"/>
        <w:ind w:firstLine="720"/>
        <w:jc w:val="both"/>
        <w:rPr>
          <w:color w:val="000000"/>
        </w:rPr>
      </w:pPr>
      <w:r w:rsidRPr="00DE1B98">
        <w:rPr>
          <w:color w:val="000000"/>
        </w:rPr>
        <w:t>Слід звернути увагу й на те, що</w:t>
      </w:r>
      <w:r w:rsidR="00D5479F" w:rsidRPr="00DE1B98">
        <w:rPr>
          <w:color w:val="000000"/>
        </w:rPr>
        <w:t xml:space="preserve"> ч. 3 ст. 65 КПК (</w:t>
      </w:r>
      <w:r w:rsidR="00567982" w:rsidRPr="00DE1B98">
        <w:rPr>
          <w:color w:val="000000"/>
        </w:rPr>
        <w:t>у</w:t>
      </w:r>
      <w:r w:rsidR="00D5479F" w:rsidRPr="00DE1B98">
        <w:rPr>
          <w:color w:val="000000"/>
        </w:rPr>
        <w:t xml:space="preserve"> редакції проекту) не дозволяє встановити, яка саме особа може звільнити приватного детектива від обов’язку зберігати професійну таємниц</w:t>
      </w:r>
      <w:r w:rsidR="00D5479F" w:rsidRPr="00D5479F">
        <w:rPr>
          <w:color w:val="000000"/>
        </w:rPr>
        <w:t xml:space="preserve">ю. Адже згідно зі змістом зазначеної норми це може бути особа, що довірила йому відомості, які становлять професійну таємницю приватного детектива. </w:t>
      </w:r>
      <w:r w:rsidR="00D5479F" w:rsidRPr="00B93CF0">
        <w:rPr>
          <w:i/>
          <w:color w:val="000000"/>
        </w:rPr>
        <w:t>Замовник приватних послуг</w:t>
      </w:r>
      <w:r w:rsidR="00D5479F" w:rsidRPr="00D5479F">
        <w:rPr>
          <w:color w:val="000000"/>
        </w:rPr>
        <w:t xml:space="preserve"> може надати дозвіл тільки щодо своїх особистих даних та інформації, що міститься в договорі про надання приватних детективних послуг, але не </w:t>
      </w:r>
      <w:r>
        <w:rPr>
          <w:color w:val="000000"/>
        </w:rPr>
        <w:t xml:space="preserve">щодо </w:t>
      </w:r>
      <w:r w:rsidR="00D5479F" w:rsidRPr="00D5479F">
        <w:rPr>
          <w:color w:val="000000"/>
        </w:rPr>
        <w:t>інформації про осіб, об’єкти та події, отриманої в результаті приватної детективної діяльності. І навряд чи такий дозвіл буде наданий особами, щодо яких така інформація збиралася приватними детективами.</w:t>
      </w:r>
    </w:p>
    <w:p w:rsidR="00C07886" w:rsidRPr="00D5479F" w:rsidRDefault="00C07886" w:rsidP="00696651">
      <w:pPr>
        <w:spacing w:after="0" w:line="240" w:lineRule="auto"/>
        <w:jc w:val="both"/>
        <w:rPr>
          <w:sz w:val="18"/>
          <w:szCs w:val="18"/>
        </w:rPr>
      </w:pPr>
    </w:p>
    <w:p w:rsidR="00481C0B" w:rsidRPr="00D5479F" w:rsidRDefault="00481C0B" w:rsidP="00C32C07">
      <w:pPr>
        <w:spacing w:after="0" w:line="240" w:lineRule="auto"/>
        <w:ind w:firstLine="709"/>
        <w:jc w:val="both"/>
      </w:pPr>
      <w:r w:rsidRPr="00D5479F">
        <w:t xml:space="preserve">Узагальнюючий висновок: за результатами розгляду у першому читанні законопроект доцільно </w:t>
      </w:r>
      <w:r w:rsidR="006D4750" w:rsidRPr="00D5479F">
        <w:t>повернути суб’єкту права законодавчої ініціативи на доопрацювання</w:t>
      </w:r>
      <w:r w:rsidRPr="00D5479F">
        <w:t>.</w:t>
      </w:r>
    </w:p>
    <w:p w:rsidR="005829EB" w:rsidRPr="00D5479F" w:rsidRDefault="005829EB" w:rsidP="00C32C07">
      <w:pPr>
        <w:spacing w:after="0" w:line="240" w:lineRule="auto"/>
        <w:ind w:firstLine="709"/>
        <w:jc w:val="both"/>
      </w:pPr>
    </w:p>
    <w:p w:rsidR="0002492A" w:rsidRPr="00D5479F" w:rsidRDefault="0002492A" w:rsidP="00C32C07">
      <w:pPr>
        <w:spacing w:after="0" w:line="240" w:lineRule="auto"/>
        <w:ind w:firstLine="709"/>
        <w:jc w:val="both"/>
      </w:pPr>
    </w:p>
    <w:p w:rsidR="0002492A" w:rsidRPr="00D5479F" w:rsidRDefault="0002492A" w:rsidP="00C32C07">
      <w:pPr>
        <w:spacing w:after="0" w:line="240" w:lineRule="auto"/>
        <w:ind w:firstLine="709"/>
        <w:jc w:val="both"/>
      </w:pPr>
      <w:r w:rsidRPr="00D5479F">
        <w:t xml:space="preserve">Керівник Головного управління </w:t>
      </w:r>
      <w:r w:rsidRPr="00D5479F">
        <w:tab/>
      </w:r>
      <w:r w:rsidRPr="00D5479F">
        <w:tab/>
      </w:r>
      <w:r w:rsidRPr="00D5479F">
        <w:tab/>
      </w:r>
      <w:r w:rsidRPr="00D5479F">
        <w:tab/>
      </w:r>
      <w:r w:rsidR="00D43DA4" w:rsidRPr="00D5479F">
        <w:t xml:space="preserve"> </w:t>
      </w:r>
      <w:r w:rsidR="00050B82" w:rsidRPr="00D5479F">
        <w:t xml:space="preserve">        </w:t>
      </w:r>
      <w:r w:rsidRPr="00D5479F">
        <w:t>С. Тихонюк</w:t>
      </w:r>
    </w:p>
    <w:p w:rsidR="0002492A" w:rsidRPr="00D5479F" w:rsidRDefault="0002492A" w:rsidP="00C32C07">
      <w:pPr>
        <w:spacing w:after="0" w:line="240" w:lineRule="auto"/>
        <w:ind w:firstLine="709"/>
        <w:jc w:val="both"/>
      </w:pPr>
    </w:p>
    <w:p w:rsidR="0002492A" w:rsidRPr="00D5479F" w:rsidRDefault="0002492A" w:rsidP="00C32C07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A511A7" w:rsidRPr="00D5479F" w:rsidRDefault="0002492A" w:rsidP="00C32C07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D5479F">
        <w:rPr>
          <w:sz w:val="20"/>
          <w:szCs w:val="20"/>
        </w:rPr>
        <w:t>Вик</w:t>
      </w:r>
      <w:proofErr w:type="spellEnd"/>
      <w:r w:rsidRPr="00D5479F">
        <w:rPr>
          <w:sz w:val="20"/>
          <w:szCs w:val="20"/>
        </w:rPr>
        <w:t xml:space="preserve">.: В. Попович, </w:t>
      </w:r>
      <w:r w:rsidR="00CE0583" w:rsidRPr="00D5479F">
        <w:rPr>
          <w:sz w:val="20"/>
          <w:szCs w:val="20"/>
        </w:rPr>
        <w:t>Т. Ругаєва</w:t>
      </w:r>
      <w:r w:rsidR="0068522D">
        <w:rPr>
          <w:sz w:val="20"/>
          <w:szCs w:val="20"/>
        </w:rPr>
        <w:t>, І. Кунець</w:t>
      </w:r>
      <w:r w:rsidR="009109C9">
        <w:rPr>
          <w:sz w:val="20"/>
          <w:szCs w:val="20"/>
        </w:rPr>
        <w:t>, Є. Корнієнко</w:t>
      </w:r>
    </w:p>
    <w:sectPr w:rsidR="00A511A7" w:rsidRPr="00D5479F" w:rsidSect="00C04682">
      <w:headerReference w:type="default" r:id="rId8"/>
      <w:footerReference w:type="even" r:id="rId9"/>
      <w:headerReference w:type="first" r:id="rId10"/>
      <w:pgSz w:w="11906" w:h="16838"/>
      <w:pgMar w:top="1134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2E9" w:rsidRDefault="00E622E9" w:rsidP="00B8186B">
      <w:pPr>
        <w:spacing w:after="0" w:line="240" w:lineRule="auto"/>
      </w:pPr>
      <w:r>
        <w:separator/>
      </w:r>
    </w:p>
  </w:endnote>
  <w:endnote w:type="continuationSeparator" w:id="0">
    <w:p w:rsidR="00E622E9" w:rsidRDefault="00E622E9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6B8" w:rsidRDefault="00EC26B8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EC26B8" w:rsidRDefault="00EC26B8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2E9" w:rsidRDefault="00E622E9" w:rsidP="00B8186B">
      <w:pPr>
        <w:spacing w:after="0" w:line="240" w:lineRule="auto"/>
      </w:pPr>
      <w:r>
        <w:separator/>
      </w:r>
    </w:p>
  </w:footnote>
  <w:footnote w:type="continuationSeparator" w:id="0">
    <w:p w:rsidR="00E622E9" w:rsidRDefault="00E622E9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6B8" w:rsidRDefault="00EC26B8" w:rsidP="006C27EE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03488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6B8" w:rsidRDefault="00EC26B8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Pr="00B8186B">
      <w:rPr>
        <w:sz w:val="20"/>
        <w:szCs w:val="20"/>
      </w:rPr>
      <w:t>3</w:t>
    </w:r>
    <w:r>
      <w:rPr>
        <w:sz w:val="20"/>
        <w:szCs w:val="20"/>
      </w:rPr>
      <w:t>0</w:t>
    </w:r>
    <w:r w:rsidR="00282F96">
      <w:rPr>
        <w:sz w:val="20"/>
        <w:szCs w:val="20"/>
        <w:lang w:val="ru-RU"/>
      </w:rPr>
      <w:t>10</w:t>
    </w:r>
    <w:r w:rsidR="004661A9">
      <w:rPr>
        <w:sz w:val="20"/>
        <w:szCs w:val="20"/>
        <w:lang w:val="ru-RU"/>
      </w:rPr>
      <w:t xml:space="preserve"> </w:t>
    </w:r>
    <w:r w:rsidRPr="00B8186B">
      <w:rPr>
        <w:sz w:val="20"/>
        <w:szCs w:val="20"/>
      </w:rPr>
      <w:t xml:space="preserve">від </w:t>
    </w:r>
    <w:r w:rsidR="004661A9">
      <w:rPr>
        <w:sz w:val="20"/>
        <w:szCs w:val="20"/>
        <w:lang w:val="ru-RU"/>
      </w:rPr>
      <w:t>04</w:t>
    </w:r>
    <w:r w:rsidRPr="00B8186B">
      <w:rPr>
        <w:sz w:val="20"/>
        <w:szCs w:val="20"/>
      </w:rPr>
      <w:t>.0</w:t>
    </w:r>
    <w:r>
      <w:rPr>
        <w:sz w:val="20"/>
        <w:szCs w:val="20"/>
      </w:rPr>
      <w:t>2</w:t>
    </w:r>
    <w:r w:rsidRPr="00B8186B">
      <w:rPr>
        <w:sz w:val="20"/>
        <w:szCs w:val="20"/>
      </w:rPr>
      <w:t>.2020</w:t>
    </w:r>
  </w:p>
  <w:p w:rsidR="00EC26B8" w:rsidRDefault="00EC26B8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Народні депутати України</w:t>
    </w:r>
  </w:p>
  <w:p w:rsidR="00EC26B8" w:rsidRPr="009B655C" w:rsidRDefault="004661A9" w:rsidP="006C27EE">
    <w:pPr>
      <w:pStyle w:val="a5"/>
      <w:jc w:val="right"/>
      <w:rPr>
        <w:sz w:val="20"/>
        <w:szCs w:val="20"/>
      </w:rPr>
    </w:pPr>
    <w:r>
      <w:rPr>
        <w:sz w:val="20"/>
        <w:szCs w:val="20"/>
        <w:lang w:val="ru-RU"/>
      </w:rPr>
      <w:t>М</w:t>
    </w:r>
    <w:r w:rsidR="00EC26B8">
      <w:rPr>
        <w:sz w:val="20"/>
        <w:szCs w:val="20"/>
      </w:rPr>
      <w:t xml:space="preserve">. </w:t>
    </w:r>
    <w:r>
      <w:rPr>
        <w:sz w:val="20"/>
        <w:szCs w:val="20"/>
        <w:lang w:val="ru-RU"/>
      </w:rPr>
      <w:t xml:space="preserve">Галушко, В. </w:t>
    </w:r>
    <w:proofErr w:type="spellStart"/>
    <w:r>
      <w:rPr>
        <w:sz w:val="20"/>
        <w:szCs w:val="20"/>
        <w:lang w:val="ru-RU"/>
      </w:rPr>
      <w:t>Медян</w:t>
    </w:r>
    <w:r>
      <w:rPr>
        <w:sz w:val="20"/>
        <w:szCs w:val="20"/>
      </w:rPr>
      <w:t>ик</w:t>
    </w:r>
    <w:proofErr w:type="spellEnd"/>
    <w:r w:rsidR="00EC26B8"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07CC1"/>
    <w:rsid w:val="00023231"/>
    <w:rsid w:val="0002492A"/>
    <w:rsid w:val="00034886"/>
    <w:rsid w:val="00044F99"/>
    <w:rsid w:val="00050B82"/>
    <w:rsid w:val="0005327E"/>
    <w:rsid w:val="0005489B"/>
    <w:rsid w:val="00057706"/>
    <w:rsid w:val="000610A7"/>
    <w:rsid w:val="00062405"/>
    <w:rsid w:val="00072F92"/>
    <w:rsid w:val="0007719F"/>
    <w:rsid w:val="0009129D"/>
    <w:rsid w:val="000A2D8D"/>
    <w:rsid w:val="000B43E6"/>
    <w:rsid w:val="000C2C76"/>
    <w:rsid w:val="000F5D7B"/>
    <w:rsid w:val="00102BB7"/>
    <w:rsid w:val="00113B6F"/>
    <w:rsid w:val="0012102B"/>
    <w:rsid w:val="00125EDB"/>
    <w:rsid w:val="001304B6"/>
    <w:rsid w:val="0013195E"/>
    <w:rsid w:val="00175170"/>
    <w:rsid w:val="00185923"/>
    <w:rsid w:val="00197BEB"/>
    <w:rsid w:val="001C5B22"/>
    <w:rsid w:val="001C7123"/>
    <w:rsid w:val="001D1608"/>
    <w:rsid w:val="001D3090"/>
    <w:rsid w:val="001E28AC"/>
    <w:rsid w:val="001E77F6"/>
    <w:rsid w:val="001F3114"/>
    <w:rsid w:val="001F3473"/>
    <w:rsid w:val="001F4A91"/>
    <w:rsid w:val="002102B5"/>
    <w:rsid w:val="00211047"/>
    <w:rsid w:val="002219B5"/>
    <w:rsid w:val="00234B26"/>
    <w:rsid w:val="00251968"/>
    <w:rsid w:val="002535D9"/>
    <w:rsid w:val="00254D54"/>
    <w:rsid w:val="00265F71"/>
    <w:rsid w:val="00282F96"/>
    <w:rsid w:val="0029302A"/>
    <w:rsid w:val="002C4680"/>
    <w:rsid w:val="002D4F16"/>
    <w:rsid w:val="002D57BD"/>
    <w:rsid w:val="002D5A1F"/>
    <w:rsid w:val="002E0044"/>
    <w:rsid w:val="002E1613"/>
    <w:rsid w:val="002E3A8A"/>
    <w:rsid w:val="00301C13"/>
    <w:rsid w:val="003050EA"/>
    <w:rsid w:val="003078C5"/>
    <w:rsid w:val="00312E22"/>
    <w:rsid w:val="00315F6C"/>
    <w:rsid w:val="0032018C"/>
    <w:rsid w:val="0032179B"/>
    <w:rsid w:val="0032528C"/>
    <w:rsid w:val="00332649"/>
    <w:rsid w:val="00332E62"/>
    <w:rsid w:val="00334A28"/>
    <w:rsid w:val="00335C68"/>
    <w:rsid w:val="00335D19"/>
    <w:rsid w:val="00354539"/>
    <w:rsid w:val="00355405"/>
    <w:rsid w:val="003642B9"/>
    <w:rsid w:val="003809E8"/>
    <w:rsid w:val="00382262"/>
    <w:rsid w:val="00382556"/>
    <w:rsid w:val="00390931"/>
    <w:rsid w:val="0039699D"/>
    <w:rsid w:val="003A3A2F"/>
    <w:rsid w:val="003A4702"/>
    <w:rsid w:val="003B5AAE"/>
    <w:rsid w:val="003B6072"/>
    <w:rsid w:val="003C539E"/>
    <w:rsid w:val="003D0897"/>
    <w:rsid w:val="003F5167"/>
    <w:rsid w:val="004030ED"/>
    <w:rsid w:val="00420BD6"/>
    <w:rsid w:val="004311DA"/>
    <w:rsid w:val="0045097E"/>
    <w:rsid w:val="00461219"/>
    <w:rsid w:val="004661A9"/>
    <w:rsid w:val="00481C0B"/>
    <w:rsid w:val="004832A8"/>
    <w:rsid w:val="00492A31"/>
    <w:rsid w:val="00492FA2"/>
    <w:rsid w:val="004B44E3"/>
    <w:rsid w:val="004D4D06"/>
    <w:rsid w:val="004D69F5"/>
    <w:rsid w:val="004F0A6F"/>
    <w:rsid w:val="00502977"/>
    <w:rsid w:val="005273DC"/>
    <w:rsid w:val="00530E7E"/>
    <w:rsid w:val="00567982"/>
    <w:rsid w:val="005806E9"/>
    <w:rsid w:val="00581ADB"/>
    <w:rsid w:val="005829EB"/>
    <w:rsid w:val="005970CF"/>
    <w:rsid w:val="005C5C34"/>
    <w:rsid w:val="005D7E4A"/>
    <w:rsid w:val="00603E87"/>
    <w:rsid w:val="00604DD6"/>
    <w:rsid w:val="00605190"/>
    <w:rsid w:val="00615710"/>
    <w:rsid w:val="00627E5F"/>
    <w:rsid w:val="00655B0E"/>
    <w:rsid w:val="0066703B"/>
    <w:rsid w:val="00674230"/>
    <w:rsid w:val="00674751"/>
    <w:rsid w:val="006827F1"/>
    <w:rsid w:val="0068522D"/>
    <w:rsid w:val="00696651"/>
    <w:rsid w:val="006A2082"/>
    <w:rsid w:val="006B12C0"/>
    <w:rsid w:val="006B661E"/>
    <w:rsid w:val="006C27EE"/>
    <w:rsid w:val="006C5908"/>
    <w:rsid w:val="006C60DD"/>
    <w:rsid w:val="006D4750"/>
    <w:rsid w:val="006E2D4B"/>
    <w:rsid w:val="006E727D"/>
    <w:rsid w:val="00750287"/>
    <w:rsid w:val="00750BF5"/>
    <w:rsid w:val="0075191A"/>
    <w:rsid w:val="00763DB6"/>
    <w:rsid w:val="00777F94"/>
    <w:rsid w:val="007803A0"/>
    <w:rsid w:val="007A1F21"/>
    <w:rsid w:val="007C01A0"/>
    <w:rsid w:val="007C01D7"/>
    <w:rsid w:val="007C4C3E"/>
    <w:rsid w:val="007D123F"/>
    <w:rsid w:val="007D1655"/>
    <w:rsid w:val="007F0A4C"/>
    <w:rsid w:val="00802E45"/>
    <w:rsid w:val="00811E97"/>
    <w:rsid w:val="0084567A"/>
    <w:rsid w:val="00847A69"/>
    <w:rsid w:val="00857699"/>
    <w:rsid w:val="0086741D"/>
    <w:rsid w:val="00870FB0"/>
    <w:rsid w:val="0087231A"/>
    <w:rsid w:val="008726F3"/>
    <w:rsid w:val="00876C0C"/>
    <w:rsid w:val="00881D7F"/>
    <w:rsid w:val="008C1E78"/>
    <w:rsid w:val="008C5EC7"/>
    <w:rsid w:val="008D6598"/>
    <w:rsid w:val="008E5869"/>
    <w:rsid w:val="008F006D"/>
    <w:rsid w:val="008F0411"/>
    <w:rsid w:val="008F617D"/>
    <w:rsid w:val="009109C9"/>
    <w:rsid w:val="00911210"/>
    <w:rsid w:val="00936CFC"/>
    <w:rsid w:val="00977CB3"/>
    <w:rsid w:val="00981138"/>
    <w:rsid w:val="00985B72"/>
    <w:rsid w:val="0098755E"/>
    <w:rsid w:val="00995650"/>
    <w:rsid w:val="009A1E8D"/>
    <w:rsid w:val="009A761E"/>
    <w:rsid w:val="009C05EC"/>
    <w:rsid w:val="009D0AA6"/>
    <w:rsid w:val="009D3335"/>
    <w:rsid w:val="009E21DC"/>
    <w:rsid w:val="009F0922"/>
    <w:rsid w:val="009F2C06"/>
    <w:rsid w:val="00A03216"/>
    <w:rsid w:val="00A07B04"/>
    <w:rsid w:val="00A10D76"/>
    <w:rsid w:val="00A37D6D"/>
    <w:rsid w:val="00A42329"/>
    <w:rsid w:val="00A4647D"/>
    <w:rsid w:val="00A511A7"/>
    <w:rsid w:val="00A578C7"/>
    <w:rsid w:val="00A62AF4"/>
    <w:rsid w:val="00A80C44"/>
    <w:rsid w:val="00A87892"/>
    <w:rsid w:val="00A91267"/>
    <w:rsid w:val="00A938E8"/>
    <w:rsid w:val="00A94EA2"/>
    <w:rsid w:val="00A95253"/>
    <w:rsid w:val="00AA0AF0"/>
    <w:rsid w:val="00AA53E0"/>
    <w:rsid w:val="00AC0E90"/>
    <w:rsid w:val="00AC328B"/>
    <w:rsid w:val="00AD6F4F"/>
    <w:rsid w:val="00AE7C8C"/>
    <w:rsid w:val="00AF3478"/>
    <w:rsid w:val="00AF48EA"/>
    <w:rsid w:val="00B01DFA"/>
    <w:rsid w:val="00B13C80"/>
    <w:rsid w:val="00B172FF"/>
    <w:rsid w:val="00B25833"/>
    <w:rsid w:val="00B30A3B"/>
    <w:rsid w:val="00B3472D"/>
    <w:rsid w:val="00B515FE"/>
    <w:rsid w:val="00B624ED"/>
    <w:rsid w:val="00B727BE"/>
    <w:rsid w:val="00B8186B"/>
    <w:rsid w:val="00B81BD8"/>
    <w:rsid w:val="00B85938"/>
    <w:rsid w:val="00B90EDC"/>
    <w:rsid w:val="00B934D9"/>
    <w:rsid w:val="00B93CF0"/>
    <w:rsid w:val="00B9655C"/>
    <w:rsid w:val="00BB00F2"/>
    <w:rsid w:val="00BD0825"/>
    <w:rsid w:val="00BE223E"/>
    <w:rsid w:val="00BE2DC0"/>
    <w:rsid w:val="00BE70F5"/>
    <w:rsid w:val="00BE7738"/>
    <w:rsid w:val="00BF343E"/>
    <w:rsid w:val="00C04682"/>
    <w:rsid w:val="00C07886"/>
    <w:rsid w:val="00C11729"/>
    <w:rsid w:val="00C25209"/>
    <w:rsid w:val="00C32C07"/>
    <w:rsid w:val="00C42558"/>
    <w:rsid w:val="00C42EAD"/>
    <w:rsid w:val="00C53C24"/>
    <w:rsid w:val="00C603F9"/>
    <w:rsid w:val="00C738CA"/>
    <w:rsid w:val="00CA2613"/>
    <w:rsid w:val="00CA659A"/>
    <w:rsid w:val="00CC3D45"/>
    <w:rsid w:val="00CC67B1"/>
    <w:rsid w:val="00CD21DE"/>
    <w:rsid w:val="00CE0583"/>
    <w:rsid w:val="00CE0A70"/>
    <w:rsid w:val="00CF2EAE"/>
    <w:rsid w:val="00CF3DFA"/>
    <w:rsid w:val="00CF55A7"/>
    <w:rsid w:val="00D016E5"/>
    <w:rsid w:val="00D0234A"/>
    <w:rsid w:val="00D04137"/>
    <w:rsid w:val="00D10225"/>
    <w:rsid w:val="00D31A7B"/>
    <w:rsid w:val="00D40D7E"/>
    <w:rsid w:val="00D43DA4"/>
    <w:rsid w:val="00D5479F"/>
    <w:rsid w:val="00D5645C"/>
    <w:rsid w:val="00D633E0"/>
    <w:rsid w:val="00D80C78"/>
    <w:rsid w:val="00D816B8"/>
    <w:rsid w:val="00D8562E"/>
    <w:rsid w:val="00D914AA"/>
    <w:rsid w:val="00DA5CCF"/>
    <w:rsid w:val="00DA6C94"/>
    <w:rsid w:val="00DB19E5"/>
    <w:rsid w:val="00DD06B1"/>
    <w:rsid w:val="00DE1B98"/>
    <w:rsid w:val="00DF0452"/>
    <w:rsid w:val="00E0308F"/>
    <w:rsid w:val="00E04237"/>
    <w:rsid w:val="00E05C4E"/>
    <w:rsid w:val="00E0755C"/>
    <w:rsid w:val="00E13996"/>
    <w:rsid w:val="00E44C62"/>
    <w:rsid w:val="00E45A34"/>
    <w:rsid w:val="00E47B73"/>
    <w:rsid w:val="00E577D3"/>
    <w:rsid w:val="00E622E9"/>
    <w:rsid w:val="00E67FC9"/>
    <w:rsid w:val="00EA3BD2"/>
    <w:rsid w:val="00EA5F2A"/>
    <w:rsid w:val="00EC1181"/>
    <w:rsid w:val="00EC26B8"/>
    <w:rsid w:val="00ED0436"/>
    <w:rsid w:val="00ED185F"/>
    <w:rsid w:val="00EE3044"/>
    <w:rsid w:val="00EE4F98"/>
    <w:rsid w:val="00EF366E"/>
    <w:rsid w:val="00F41289"/>
    <w:rsid w:val="00F44075"/>
    <w:rsid w:val="00F53A63"/>
    <w:rsid w:val="00F7251F"/>
    <w:rsid w:val="00F73439"/>
    <w:rsid w:val="00F948D8"/>
    <w:rsid w:val="00FA0003"/>
    <w:rsid w:val="00FA7695"/>
    <w:rsid w:val="00FB1050"/>
    <w:rsid w:val="00FB2EA4"/>
    <w:rsid w:val="00FC467A"/>
    <w:rsid w:val="00FD3372"/>
    <w:rsid w:val="00FE0506"/>
    <w:rsid w:val="00FE13B1"/>
    <w:rsid w:val="00FE6075"/>
    <w:rsid w:val="00FF01A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CAAA7"/>
  <w15:docId w15:val="{5091850B-ADC1-45BA-8734-DAE8F7587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A423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A42329"/>
    <w:rPr>
      <w:rFonts w:ascii="Segoe UI" w:hAnsi="Segoe UI" w:cs="Segoe UI"/>
      <w:sz w:val="18"/>
      <w:szCs w:val="18"/>
      <w:lang w:eastAsia="en-US"/>
    </w:rPr>
  </w:style>
  <w:style w:type="character" w:styleId="af">
    <w:name w:val="Hyperlink"/>
    <w:uiPriority w:val="99"/>
    <w:semiHidden/>
    <w:unhideWhenUsed/>
    <w:rsid w:val="008F0411"/>
    <w:rPr>
      <w:color w:val="0000FF"/>
      <w:u w:val="single"/>
    </w:rPr>
  </w:style>
  <w:style w:type="paragraph" w:customStyle="1" w:styleId="rvps2">
    <w:name w:val="rvps2"/>
    <w:basedOn w:val="a"/>
    <w:rsid w:val="002E161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rvts0">
    <w:name w:val="rvts0"/>
    <w:rsid w:val="00977CB3"/>
  </w:style>
  <w:style w:type="paragraph" w:styleId="HTML">
    <w:name w:val="HTML Preformatted"/>
    <w:basedOn w:val="a"/>
    <w:link w:val="HTML0"/>
    <w:rsid w:val="00977C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rsid w:val="00977CB3"/>
    <w:rPr>
      <w:rFonts w:ascii="Courier New" w:eastAsia="Times New Roman" w:hAnsi="Courier New" w:cs="Courier New"/>
      <w:lang w:val="ru-RU" w:eastAsia="ru-RU"/>
    </w:rPr>
  </w:style>
  <w:style w:type="paragraph" w:customStyle="1" w:styleId="StyleZakonu">
    <w:name w:val="StyleZakonu"/>
    <w:basedOn w:val="a"/>
    <w:link w:val="StyleZakonu0"/>
    <w:rsid w:val="00BD0825"/>
    <w:pPr>
      <w:spacing w:after="60" w:line="220" w:lineRule="exact"/>
      <w:ind w:firstLine="284"/>
      <w:jc w:val="both"/>
    </w:pPr>
    <w:rPr>
      <w:rFonts w:ascii="Calibri" w:eastAsia="Times New Roman" w:hAnsi="Calibri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BD0825"/>
    <w:rPr>
      <w:rFonts w:eastAsia="Times New Roman"/>
      <w:lang w:val="uk-UA"/>
    </w:rPr>
  </w:style>
  <w:style w:type="paragraph" w:styleId="af0">
    <w:name w:val="List Paragraph"/>
    <w:basedOn w:val="a"/>
    <w:uiPriority w:val="34"/>
    <w:qFormat/>
    <w:rsid w:val="00A878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4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BD18C-1ABD-4628-96ED-5A42AD60C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5795</Words>
  <Characters>3304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9081</CharactersWithSpaces>
  <SharedDoc>false</SharedDoc>
  <HLinks>
    <vt:vector size="6" baseType="variant">
      <vt:variant>
        <vt:i4>7209083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https://zakon.rada.gov.ua/laws/show/2341-14</vt:lpwstr>
      </vt:variant>
      <vt:variant>
        <vt:lpwstr>n1273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Кисельова Юлія Анатоліївна</cp:lastModifiedBy>
  <cp:revision>8</cp:revision>
  <cp:lastPrinted>2020-05-26T15:53:00Z</cp:lastPrinted>
  <dcterms:created xsi:type="dcterms:W3CDTF">2020-05-26T15:54:00Z</dcterms:created>
  <dcterms:modified xsi:type="dcterms:W3CDTF">2020-05-26T15:56:00Z</dcterms:modified>
</cp:coreProperties>
</file>