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15A" w:rsidRDefault="000F315A" w:rsidP="000F315A">
      <w:pPr>
        <w:jc w:val="right"/>
        <w:rPr>
          <w:sz w:val="24"/>
        </w:rPr>
      </w:pPr>
      <w:bookmarkStart w:id="0" w:name="_GoBack"/>
      <w:bookmarkEnd w:id="0"/>
      <w:r>
        <w:rPr>
          <w:sz w:val="24"/>
        </w:rPr>
        <w:t>До реєстр. № 3014 від 05.02.2020 р.</w:t>
      </w:r>
    </w:p>
    <w:p w:rsidR="000F315A" w:rsidRDefault="000F315A" w:rsidP="000F315A">
      <w:pPr>
        <w:jc w:val="right"/>
      </w:pPr>
      <w:r>
        <w:rPr>
          <w:sz w:val="24"/>
        </w:rPr>
        <w:t>перше читання</w:t>
      </w:r>
    </w:p>
    <w:p w:rsidR="000F315A" w:rsidRDefault="000F315A" w:rsidP="000F315A">
      <w:pPr>
        <w:jc w:val="center"/>
        <w:rPr>
          <w:b/>
        </w:rPr>
      </w:pPr>
    </w:p>
    <w:p w:rsidR="000F315A" w:rsidRDefault="000F315A" w:rsidP="000F315A">
      <w:pPr>
        <w:jc w:val="center"/>
        <w:rPr>
          <w:b/>
        </w:rPr>
      </w:pPr>
    </w:p>
    <w:p w:rsidR="000F315A" w:rsidRDefault="000F315A" w:rsidP="000F315A">
      <w:pPr>
        <w:ind w:firstLine="720"/>
        <w:jc w:val="both"/>
        <w:rPr>
          <w:szCs w:val="28"/>
        </w:rPr>
      </w:pPr>
    </w:p>
    <w:p w:rsidR="000F315A" w:rsidRDefault="000F315A" w:rsidP="000F315A">
      <w:pPr>
        <w:ind w:firstLine="720"/>
        <w:jc w:val="both"/>
        <w:rPr>
          <w:szCs w:val="28"/>
        </w:rPr>
      </w:pPr>
    </w:p>
    <w:p w:rsidR="000F315A" w:rsidRDefault="000F315A" w:rsidP="000F315A">
      <w:pPr>
        <w:ind w:firstLine="709"/>
        <w:jc w:val="right"/>
        <w:rPr>
          <w:b/>
          <w:szCs w:val="28"/>
        </w:rPr>
      </w:pPr>
    </w:p>
    <w:p w:rsidR="000F315A" w:rsidRDefault="000F315A" w:rsidP="000F315A">
      <w:pPr>
        <w:ind w:firstLine="709"/>
        <w:jc w:val="right"/>
        <w:rPr>
          <w:b/>
          <w:szCs w:val="28"/>
        </w:rPr>
      </w:pPr>
    </w:p>
    <w:p w:rsidR="000F315A" w:rsidRDefault="000F315A" w:rsidP="000F315A">
      <w:pPr>
        <w:ind w:firstLine="709"/>
        <w:jc w:val="right"/>
        <w:rPr>
          <w:b/>
          <w:szCs w:val="28"/>
        </w:rPr>
      </w:pPr>
    </w:p>
    <w:p w:rsidR="000F315A" w:rsidRDefault="000F315A" w:rsidP="000F315A">
      <w:pPr>
        <w:ind w:firstLine="709"/>
        <w:jc w:val="right"/>
        <w:rPr>
          <w:b/>
          <w:szCs w:val="28"/>
        </w:rPr>
      </w:pPr>
    </w:p>
    <w:p w:rsidR="000F315A" w:rsidRDefault="000F315A" w:rsidP="000F315A">
      <w:pPr>
        <w:ind w:firstLine="709"/>
        <w:jc w:val="right"/>
        <w:rPr>
          <w:b/>
          <w:szCs w:val="28"/>
        </w:rPr>
      </w:pPr>
    </w:p>
    <w:p w:rsidR="000F315A" w:rsidRDefault="000F315A" w:rsidP="000F315A">
      <w:pPr>
        <w:ind w:firstLine="709"/>
        <w:jc w:val="right"/>
        <w:rPr>
          <w:b/>
          <w:szCs w:val="28"/>
        </w:rPr>
      </w:pPr>
    </w:p>
    <w:p w:rsidR="000F315A" w:rsidRDefault="000F315A" w:rsidP="000F315A">
      <w:pPr>
        <w:ind w:firstLine="709"/>
        <w:jc w:val="right"/>
        <w:rPr>
          <w:b/>
          <w:szCs w:val="28"/>
        </w:rPr>
      </w:pPr>
    </w:p>
    <w:p w:rsidR="000F315A" w:rsidRDefault="000F315A" w:rsidP="000F315A">
      <w:pPr>
        <w:ind w:firstLine="709"/>
        <w:jc w:val="right"/>
        <w:rPr>
          <w:b/>
          <w:szCs w:val="28"/>
        </w:rPr>
      </w:pPr>
      <w:r>
        <w:rPr>
          <w:b/>
          <w:szCs w:val="28"/>
        </w:rPr>
        <w:t>Верховна Рада України</w:t>
      </w:r>
    </w:p>
    <w:p w:rsidR="000F315A" w:rsidRDefault="000F315A" w:rsidP="000F315A">
      <w:pPr>
        <w:ind w:firstLine="720"/>
        <w:jc w:val="both"/>
        <w:rPr>
          <w:szCs w:val="28"/>
        </w:rPr>
      </w:pPr>
    </w:p>
    <w:p w:rsidR="000F315A" w:rsidRDefault="000F315A" w:rsidP="000F315A">
      <w:pPr>
        <w:ind w:firstLine="720"/>
        <w:jc w:val="both"/>
        <w:rPr>
          <w:szCs w:val="28"/>
        </w:rPr>
      </w:pPr>
    </w:p>
    <w:p w:rsidR="000F315A" w:rsidRDefault="000F315A" w:rsidP="000F315A">
      <w:pPr>
        <w:ind w:firstLine="709"/>
        <w:jc w:val="both"/>
        <w:rPr>
          <w:szCs w:val="28"/>
        </w:rPr>
      </w:pPr>
    </w:p>
    <w:p w:rsidR="000F315A" w:rsidRDefault="000F315A" w:rsidP="000F315A">
      <w:pPr>
        <w:spacing w:line="360" w:lineRule="auto"/>
        <w:ind w:firstLine="709"/>
        <w:jc w:val="both"/>
      </w:pPr>
      <w:r>
        <w:t>Комітет Верховної Ради України з питань цифрової трансформації повернувся до розгляду та розглянув на своєму засіданні 15 червня 2020 року (протокол № 22) проект Закону України «Про електронні комунікації» реєстр. № 3014 поданий 05.02.2020 народними депутатами України Федієнком О.П., Крячко М.В., та іншими.</w:t>
      </w:r>
    </w:p>
    <w:p w:rsidR="000F315A" w:rsidRDefault="000F315A" w:rsidP="000F315A">
      <w:pPr>
        <w:spacing w:line="360" w:lineRule="auto"/>
        <w:ind w:firstLine="709"/>
        <w:jc w:val="both"/>
      </w:pPr>
      <w:r>
        <w:t>Метою законопроекту зазначено встановлення правової основи діяльності у сферах електронних комунікацій та радіочастотного спектру, а також встановлення повноваження держави щодо управління та регулювання діяльності у сфері електронних комунікацій, а також права, обов'язки та засади відповідальності фізичних і юридичних осіб, які беруть участь у даній діяльності або користуються електронними комунікаційними послугами.</w:t>
      </w:r>
    </w:p>
    <w:p w:rsidR="000F315A" w:rsidRDefault="000F315A" w:rsidP="000F315A">
      <w:pPr>
        <w:spacing w:line="360" w:lineRule="auto"/>
        <w:ind w:firstLine="709"/>
        <w:jc w:val="both"/>
      </w:pPr>
      <w:r>
        <w:t xml:space="preserve">У проекті Закону України «Про електронні комунікації» визначаються правові основи діяльності постачальників електронних комунікаційних мереж та/або послуг та передбачається: </w:t>
      </w:r>
    </w:p>
    <w:p w:rsidR="000F315A" w:rsidRDefault="000F315A" w:rsidP="000F315A">
      <w:pPr>
        <w:spacing w:line="360" w:lineRule="auto"/>
        <w:ind w:firstLine="709"/>
        <w:jc w:val="both"/>
      </w:pPr>
      <w:r>
        <w:t>- запровадити повідомний принцип реєстрації суб’єктів господарювання, що здійснюють діяльність у сфері електронних комунікацій;</w:t>
      </w:r>
    </w:p>
    <w:p w:rsidR="000F315A" w:rsidRDefault="000F315A" w:rsidP="000F315A">
      <w:pPr>
        <w:spacing w:line="360" w:lineRule="auto"/>
        <w:ind w:firstLine="709"/>
        <w:jc w:val="both"/>
      </w:pPr>
      <w:r>
        <w:t>- установити виключний перелік вимог до учасників ринку;</w:t>
      </w:r>
    </w:p>
    <w:p w:rsidR="000F315A" w:rsidRDefault="000F315A" w:rsidP="000F315A">
      <w:pPr>
        <w:spacing w:line="360" w:lineRule="auto"/>
        <w:ind w:firstLine="709"/>
        <w:jc w:val="both"/>
      </w:pPr>
      <w:r>
        <w:t>- запровадити консультації з учасниками ринку з усіх питань, що зачіпають їх інтереси;</w:t>
      </w:r>
    </w:p>
    <w:p w:rsidR="000F315A" w:rsidRDefault="000F315A" w:rsidP="000F315A">
      <w:pPr>
        <w:spacing w:line="360" w:lineRule="auto"/>
        <w:ind w:firstLine="709"/>
        <w:jc w:val="both"/>
      </w:pPr>
      <w:r>
        <w:lastRenderedPageBreak/>
        <w:t>-</w:t>
      </w:r>
      <w:r>
        <w:tab/>
        <w:t>установити процедуру подання документів до регуляторного органу в електронному вигляді;</w:t>
      </w:r>
    </w:p>
    <w:p w:rsidR="000F315A" w:rsidRDefault="000F315A" w:rsidP="000F315A">
      <w:pPr>
        <w:spacing w:line="360" w:lineRule="auto"/>
        <w:ind w:firstLine="709"/>
        <w:jc w:val="both"/>
      </w:pPr>
      <w:r>
        <w:t>-</w:t>
      </w:r>
      <w:r>
        <w:tab/>
        <w:t>удосконалити контроль (нагляд) у сфері електронних комунікацій з метою його спрямування на попередження правопорушень та зниження потенційно можливого тиску на суб’єктів господарювання, зменшення кількості перевірок цих суб’єктів на їх території;</w:t>
      </w:r>
    </w:p>
    <w:p w:rsidR="000F315A" w:rsidRDefault="000F315A" w:rsidP="000F315A">
      <w:pPr>
        <w:spacing w:line="360" w:lineRule="auto"/>
        <w:ind w:firstLine="709"/>
        <w:jc w:val="both"/>
      </w:pPr>
      <w:r>
        <w:t>- визначити засади попереднього регулювання, а також перелік регуляторних зобов’язань, які можуть накладатись на постачальників електронних комунікаційних мереж та/або послуг з істотною ринковою перевагою на ринку певних електронних комунікаційних послуг, та повноваження регуляторного органу щодо їх накладання;</w:t>
      </w:r>
    </w:p>
    <w:p w:rsidR="000F315A" w:rsidRDefault="000F315A" w:rsidP="000F315A">
      <w:pPr>
        <w:spacing w:line="360" w:lineRule="auto"/>
        <w:ind w:firstLine="709"/>
        <w:jc w:val="both"/>
      </w:pPr>
      <w:r>
        <w:t>- зробити акцент на доступ до інфраструктури та спільне використання інфраструктури, що суттєво знизить витрати на розгортання мереж;</w:t>
      </w:r>
    </w:p>
    <w:p w:rsidR="000F315A" w:rsidRDefault="000F315A" w:rsidP="000F315A">
      <w:pPr>
        <w:spacing w:line="360" w:lineRule="auto"/>
        <w:ind w:firstLine="709"/>
        <w:jc w:val="both"/>
      </w:pPr>
      <w:r>
        <w:t>- встановити універсальну послугу, яка забезпечує доступність, включаючи і цінову доступність, до Інтернету та голосового зв’язку;</w:t>
      </w:r>
    </w:p>
    <w:p w:rsidR="000F315A" w:rsidRDefault="000F315A" w:rsidP="000F315A">
      <w:pPr>
        <w:spacing w:line="360" w:lineRule="auto"/>
        <w:ind w:firstLine="709"/>
        <w:jc w:val="both"/>
      </w:pPr>
      <w:r>
        <w:t>- особливості припинення діяльності постачальників електронних комунікаційних послуг;</w:t>
      </w:r>
    </w:p>
    <w:p w:rsidR="000F315A" w:rsidRDefault="000F315A" w:rsidP="000F315A">
      <w:pPr>
        <w:spacing w:line="360" w:lineRule="auto"/>
        <w:ind w:firstLine="709"/>
        <w:jc w:val="both"/>
      </w:pPr>
      <w:r>
        <w:t>- відповідальність за порушення законодавства про електронні комунікації;</w:t>
      </w:r>
    </w:p>
    <w:p w:rsidR="000F315A" w:rsidRDefault="000F315A" w:rsidP="000F315A">
      <w:pPr>
        <w:spacing w:line="360" w:lineRule="auto"/>
        <w:ind w:firstLine="709"/>
        <w:jc w:val="both"/>
      </w:pPr>
      <w:r>
        <w:t>-</w:t>
      </w:r>
      <w:r>
        <w:tab/>
        <w:t>уточнити, враховуючи законодавство ЄС, термінологію у сфері електронних комунікацій.</w:t>
      </w:r>
    </w:p>
    <w:p w:rsidR="000F315A" w:rsidRDefault="000F315A" w:rsidP="000F315A">
      <w:pPr>
        <w:spacing w:line="360" w:lineRule="auto"/>
        <w:ind w:firstLine="709"/>
        <w:jc w:val="both"/>
      </w:pPr>
      <w:r>
        <w:t xml:space="preserve">Міністерство цифрової трансформації України надіслало експертний висновок до законопроекту в якому зазначається, що законопроект підтримується Кабінетом Міністрів України, з урахуванням висловлених зауважень та пропозицій. </w:t>
      </w:r>
    </w:p>
    <w:p w:rsidR="000F315A" w:rsidRDefault="000F315A" w:rsidP="000F315A">
      <w:pPr>
        <w:spacing w:line="360" w:lineRule="auto"/>
        <w:ind w:firstLine="709"/>
        <w:jc w:val="both"/>
      </w:pPr>
      <w:r>
        <w:t>Крім того, Міністерство зазначає, що прийняття законопроекту</w:t>
      </w:r>
      <w:r>
        <w:br/>
        <w:t>сприятиме усуненню неефективних регуляторних бар’єрів на ринку послуг електронних комунікацій та встановлюватиме нову нормативно-правову</w:t>
      </w:r>
      <w:r>
        <w:br/>
        <w:t xml:space="preserve">базу, яка відповідатиме необхідності актуалізувати законодавство України у відповідній сфері та зобов’язанням України щодо імплементації актів права </w:t>
      </w:r>
      <w:r>
        <w:lastRenderedPageBreak/>
        <w:t>ЄС відповідно до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сторони, ратифікованою Законом України від 16.09.2014 № 1678-VII, зокрема ряду директив ЄС, визначених доповненням XVII-3 Угоди.</w:t>
      </w:r>
    </w:p>
    <w:p w:rsidR="000F315A" w:rsidRDefault="000F315A" w:rsidP="000F315A">
      <w:pPr>
        <w:spacing w:line="360" w:lineRule="auto"/>
        <w:ind w:firstLine="709"/>
        <w:jc w:val="both"/>
      </w:pPr>
      <w:r>
        <w:t>Національна комісія, що здійснює державне регулювання у сфері зв’язку надала зауваження до законопроекту та повідомила, що не підтримує законопроект.</w:t>
      </w:r>
    </w:p>
    <w:p w:rsidR="000F315A" w:rsidRDefault="000F315A" w:rsidP="000F315A">
      <w:pPr>
        <w:spacing w:line="360" w:lineRule="auto"/>
        <w:ind w:firstLine="709"/>
        <w:jc w:val="both"/>
      </w:pPr>
      <w:r>
        <w:t>Комітет з питань антикорупційної політики надав зауваження до законопроекту стосовно необхідності закріпити правовий статус та організаційно-правові засади діяльності національного регулятора, зауваження щодо  надання пріоритетного права Регулятора перед Антимонопольним комітетом щодо проведення аналізу ринку, а також невідповідності пропозиції щодо проведення тільки позапланових перевірок та аналізу поданої постачальниками та користувачами радіочастотного спектру регуляторної звітності нормам законодавства про державний нагляд.</w:t>
      </w:r>
    </w:p>
    <w:p w:rsidR="000F315A" w:rsidRDefault="000F315A" w:rsidP="000F315A">
      <w:pPr>
        <w:spacing w:line="360" w:lineRule="auto"/>
        <w:ind w:firstLine="709"/>
        <w:jc w:val="both"/>
      </w:pPr>
      <w:r>
        <w:t xml:space="preserve">Враховуючи отримані зауваження Комітет вважає за необхідне визначити окремі положення законопроекту, які необхідно доопрацювати до другого читання. </w:t>
      </w:r>
    </w:p>
    <w:p w:rsidR="000F315A" w:rsidRDefault="000F315A" w:rsidP="000F315A">
      <w:pPr>
        <w:spacing w:line="360" w:lineRule="auto"/>
        <w:ind w:firstLine="709"/>
        <w:jc w:val="both"/>
      </w:pPr>
      <w:r>
        <w:t xml:space="preserve">Так, значною мірою зауваження стосувалися того, що законопроектом недостатньо визначені статус, повноваження, порядок формування регуляторного органу – Національної комісії, що здійснює державне регулювання у сферах електронних комунікацій та радіочастотного спектра. </w:t>
      </w:r>
    </w:p>
    <w:p w:rsidR="000F315A" w:rsidRDefault="000F315A" w:rsidP="000F315A">
      <w:pPr>
        <w:spacing w:line="360" w:lineRule="auto"/>
        <w:ind w:firstLine="709"/>
        <w:jc w:val="both"/>
      </w:pPr>
      <w:r>
        <w:t>Комітет, погоджуючись з наданими зауваженнями, пропонує виключити статті 7 та 8 законопроекту, якими пропонувалося визначити статус та повноваження регуляторного органу, і законодавчо врегулювати зазначені питання в окремому законопроекті, який розглядати у другому читанні спільно з цим законопроектом. Слід зазначити, що законопроект про національний регулятор у сферах електронних комунікацій та радіочастотного спектра вже готується робочою групою при Комітеті.</w:t>
      </w:r>
    </w:p>
    <w:p w:rsidR="000F315A" w:rsidRDefault="000F315A" w:rsidP="000F315A">
      <w:pPr>
        <w:spacing w:line="360" w:lineRule="auto"/>
        <w:ind w:firstLine="709"/>
        <w:jc w:val="both"/>
      </w:pPr>
      <w:r>
        <w:lastRenderedPageBreak/>
        <w:t>Щодо позиції Комітету з питань антикорупційної політики стосовно надання пріоритетного права Регулятора перед Антимонопольним комітетом щодо проведення аналізу ринку (</w:t>
      </w:r>
      <w:proofErr w:type="spellStart"/>
      <w:r>
        <w:t>абз</w:t>
      </w:r>
      <w:proofErr w:type="spellEnd"/>
      <w:r>
        <w:t xml:space="preserve">. 2 </w:t>
      </w:r>
      <w:proofErr w:type="spellStart"/>
      <w:r>
        <w:t>част</w:t>
      </w:r>
      <w:proofErr w:type="spellEnd"/>
      <w:r>
        <w:t>. 1 статті 85), то Комітет звертає увагу, що зазначені положення жодним чином не суперечать антимонопольному законодавству, адже національний регулятор проводить аналіз ринків які підпадають під процедури «</w:t>
      </w:r>
      <w:proofErr w:type="spellStart"/>
      <w:r>
        <w:t>ex-ante</w:t>
      </w:r>
      <w:proofErr w:type="spellEnd"/>
      <w:r>
        <w:t>» регулювання, тоді як  Антимонопольний комітет має  змогу провести аналіз виключно за принципом «</w:t>
      </w:r>
      <w:proofErr w:type="spellStart"/>
      <w:r>
        <w:t>ex-post</w:t>
      </w:r>
      <w:proofErr w:type="spellEnd"/>
      <w:r>
        <w:t xml:space="preserve">». Також слід підкреслити, що процедура проведення аналізу ринку телекомунікацій національним регулятором вже міститься в чинному законодавстві. </w:t>
      </w:r>
    </w:p>
    <w:p w:rsidR="000F315A" w:rsidRDefault="000F315A" w:rsidP="000F315A">
      <w:pPr>
        <w:spacing w:line="360" w:lineRule="auto"/>
        <w:ind w:firstLine="709"/>
        <w:jc w:val="both"/>
      </w:pPr>
      <w:r>
        <w:t xml:space="preserve">Крім того, згідно з Угодою 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(доповнення XVII-3 «Правила, що застосовуються до телекомунікаційних послуг») Україна взяла на себе зобов’язання, зокрема, щодо адаптації: </w:t>
      </w:r>
    </w:p>
    <w:p w:rsidR="000F315A" w:rsidRDefault="000F315A" w:rsidP="000F315A">
      <w:pPr>
        <w:spacing w:line="360" w:lineRule="auto"/>
        <w:ind w:firstLine="709"/>
        <w:jc w:val="both"/>
      </w:pPr>
      <w:r>
        <w:t>1) Директиви № 2002/19/ЄС Європейського Парламенту та Ради від 07.03.2002 про доступ до, та з’єднання з, електронних комунікаційних мереж та відповідного оснащення (Директива Доступу) із змінами, внесеними Директивою № 2009/140/ЄС Європейського Парламенту та Ради від 25.11.2009 (далі – Директива № 2002/19/ЄС):</w:t>
      </w:r>
    </w:p>
    <w:p w:rsidR="000F315A" w:rsidRDefault="000F315A" w:rsidP="000F315A">
      <w:pPr>
        <w:spacing w:line="360" w:lineRule="auto"/>
        <w:ind w:firstLine="709"/>
        <w:jc w:val="both"/>
      </w:pPr>
      <w:r>
        <w:t xml:space="preserve">базуючись на аналізі ринку, проведеному відповідно до рамкової директиви, національний регулятор у секторі електронних комунікацій накладає на операторів, які виявлені як такі, що мають значний ринковий вплив (SMP) на відповідних ринках, належні регуляторні зобов’язання відносно: </w:t>
      </w:r>
    </w:p>
    <w:p w:rsidR="000F315A" w:rsidRDefault="000F315A" w:rsidP="000F315A">
      <w:pPr>
        <w:spacing w:line="360" w:lineRule="auto"/>
        <w:ind w:firstLine="709"/>
        <w:jc w:val="both"/>
      </w:pPr>
      <w:r>
        <w:t>- доступу до, та використання, окремих мережевих засобів;</w:t>
      </w:r>
    </w:p>
    <w:p w:rsidR="000F315A" w:rsidRDefault="000F315A" w:rsidP="000F315A">
      <w:pPr>
        <w:spacing w:line="360" w:lineRule="auto"/>
        <w:ind w:firstLine="709"/>
        <w:jc w:val="both"/>
      </w:pPr>
      <w:r>
        <w:t>- ціновий контроль оплати за доступ до мережі та з’єднання, включаючи зобов’язання щодо вартісної орієнтації;</w:t>
      </w:r>
    </w:p>
    <w:p w:rsidR="000F315A" w:rsidRDefault="000F315A" w:rsidP="000F315A">
      <w:pPr>
        <w:spacing w:line="360" w:lineRule="auto"/>
        <w:ind w:firstLine="709"/>
        <w:jc w:val="both"/>
      </w:pPr>
      <w:r>
        <w:t>- прозорість, відсутність дискримінації та розмежування бухгалтерського обліку;</w:t>
      </w:r>
    </w:p>
    <w:p w:rsidR="000F315A" w:rsidRDefault="000F315A" w:rsidP="000F315A">
      <w:pPr>
        <w:spacing w:line="360" w:lineRule="auto"/>
        <w:ind w:firstLine="709"/>
        <w:jc w:val="both"/>
      </w:pPr>
      <w:r>
        <w:lastRenderedPageBreak/>
        <w:t xml:space="preserve">2) Директиви № 2002/20/ЄС Європейського Парламенту та Ради від 07.03.2002 про авторизацію електронних комунікаційних мереж та послуг (Директива Авторизації) із змінами, внесеними Директивою № 2009/140/ЄС Європейського Парламенту та Ради від 25.11.2009 (далі - Директива № 2002/20/ЄС): </w:t>
      </w:r>
    </w:p>
    <w:p w:rsidR="000F315A" w:rsidRDefault="000F315A" w:rsidP="000F315A">
      <w:pPr>
        <w:spacing w:line="360" w:lineRule="auto"/>
        <w:ind w:firstLine="709"/>
        <w:jc w:val="both"/>
      </w:pPr>
      <w:r>
        <w:t>запровадити процедуру надання загальної авторизації та обмежити необхідність видачі індивідуальних ліцензій окремими обґрунтованими випадками;</w:t>
      </w:r>
    </w:p>
    <w:p w:rsidR="000F315A" w:rsidRDefault="000F315A" w:rsidP="000F315A">
      <w:pPr>
        <w:spacing w:line="360" w:lineRule="auto"/>
        <w:ind w:firstLine="709"/>
        <w:jc w:val="both"/>
      </w:pPr>
      <w:r>
        <w:t>3) Директиви № 2002/21/ЄС Європейського Парламенту та Ради від 07.03.2002 про єдину нормативно-правову базу для електронних комунікаційних мереж та послуг (Рамкова Директива) із змінами, внесеними Директивою № 2009/140/ЄС Європейського Парламенту та Ради від 25.11.2009 (далі – Директива № 2002/21/ЄС):</w:t>
      </w:r>
    </w:p>
    <w:p w:rsidR="000F315A" w:rsidRDefault="000F315A" w:rsidP="000F315A">
      <w:pPr>
        <w:spacing w:line="360" w:lineRule="auto"/>
        <w:ind w:firstLine="709"/>
        <w:jc w:val="both"/>
      </w:pPr>
      <w:r>
        <w:t xml:space="preserve">- визначити відповідні ринки товарів та послуг у секторі електронних комунікацій, які підпадають під процедури </w:t>
      </w:r>
      <w:proofErr w:type="spellStart"/>
      <w:r>
        <w:t>ex-ante</w:t>
      </w:r>
      <w:proofErr w:type="spellEnd"/>
      <w:r>
        <w:t>, та проаналізувати ці ринки з метою визначення, чи існують на них значний ринковий вплив (SMP);</w:t>
      </w:r>
    </w:p>
    <w:p w:rsidR="000F315A" w:rsidRDefault="000F315A" w:rsidP="000F315A">
      <w:pPr>
        <w:spacing w:line="360" w:lineRule="auto"/>
        <w:ind w:firstLine="709"/>
        <w:jc w:val="both"/>
      </w:pPr>
      <w:r>
        <w:t>- зміцнювати незалежність та адміністративну спроможність національного регуляторного органу в секторі електронних комунікацій;</w:t>
      </w:r>
    </w:p>
    <w:p w:rsidR="000F315A" w:rsidRDefault="000F315A" w:rsidP="000F315A">
      <w:pPr>
        <w:spacing w:line="360" w:lineRule="auto"/>
        <w:ind w:firstLine="709"/>
        <w:jc w:val="both"/>
      </w:pPr>
      <w:r>
        <w:t>- запровадити процедуру публічних консультацій для нових регуляторних заходів;</w:t>
      </w:r>
    </w:p>
    <w:p w:rsidR="000F315A" w:rsidRDefault="000F315A" w:rsidP="000F315A">
      <w:pPr>
        <w:spacing w:line="360" w:lineRule="auto"/>
        <w:ind w:firstLine="709"/>
        <w:jc w:val="both"/>
      </w:pPr>
      <w:r>
        <w:t>- створити ефективні механізми для оскарження рішень Національного регулятора в секторі електронних комунікацій.</w:t>
      </w:r>
    </w:p>
    <w:p w:rsidR="000F315A" w:rsidRDefault="000F315A" w:rsidP="000F315A">
      <w:pPr>
        <w:spacing w:line="360" w:lineRule="auto"/>
        <w:ind w:firstLine="709"/>
        <w:jc w:val="both"/>
      </w:pPr>
      <w:r>
        <w:t xml:space="preserve">В той же час, реалізація законопроекту передбачає збільшення витрат з державного бюджету, пов’язаних із здійсненням радіочастотного моніторингу. Зазначене пов’язано з виконанням державою власних зобов’язань перед користувачами радіочастотного ресурсу, які при сплаті рентної плати не мають витрачати додаткові власні кошти на здійснення моніторингу для забезпечення свого права на користування радіочастотним ресурсом. </w:t>
      </w:r>
    </w:p>
    <w:p w:rsidR="000F315A" w:rsidRDefault="000F315A" w:rsidP="000F315A">
      <w:pPr>
        <w:spacing w:line="360" w:lineRule="auto"/>
        <w:ind w:firstLine="709"/>
        <w:jc w:val="both"/>
      </w:pPr>
      <w:r>
        <w:lastRenderedPageBreak/>
        <w:t xml:space="preserve">Можливість вивільнення коштів, які направляються операторами телекомунікацій на здійснення радіочастотного моніторингу </w:t>
      </w:r>
      <w:proofErr w:type="spellStart"/>
      <w:r>
        <w:t>надасть</w:t>
      </w:r>
      <w:proofErr w:type="spellEnd"/>
      <w:r>
        <w:t xml:space="preserve"> змогу зазначеним суб’єктам значно пришвидшити діяльність з розбудови телекомунікаційних мереж, що в свою чергу, збільшить податкові надходження від надання телекомунікаційних послуг.</w:t>
      </w:r>
    </w:p>
    <w:p w:rsidR="000F315A" w:rsidRDefault="000F315A" w:rsidP="000F315A">
      <w:pPr>
        <w:spacing w:line="360" w:lineRule="auto"/>
        <w:ind w:firstLine="709"/>
        <w:jc w:val="both"/>
      </w:pPr>
      <w:r>
        <w:t>При цьому, законопроектом реєстр. № 2321 про внесення змін до Податкового кодексу України передбачено удосконалення підходів до розрахунків рентної плати з користування радіочастотним спектром у відповідності до принципів закладених у Директиві ЄС 1972/2018. Розмір рентної плати, що сплачуються користувачами частот до державного бюджету повинен враховувати витрати, пов’язані із забезпеченням радіочастотного моніторингу, що забезпечуватиме відповідні надходження та досягнення збалансованості державного бюджету.</w:t>
      </w:r>
    </w:p>
    <w:p w:rsidR="000F315A" w:rsidRDefault="000F315A" w:rsidP="000F315A">
      <w:pPr>
        <w:spacing w:line="360" w:lineRule="auto"/>
        <w:ind w:firstLine="709"/>
        <w:jc w:val="both"/>
      </w:pPr>
      <w:r>
        <w:t xml:space="preserve">Також Комітет погоджується, що норми стосовно надання соціальних пільг, а саме цільової адресної соціальної допомоги для отримання універсальних послуг, не можуть бути предметом регулювання законодавства у сфері електронних комунікацій тому мають бути виключені, а питання надання таких пільг має бути врегульовано законодавством у сфері соціального забезпечення. </w:t>
      </w:r>
    </w:p>
    <w:p w:rsidR="000F315A" w:rsidRDefault="000F315A" w:rsidP="000F315A">
      <w:pPr>
        <w:spacing w:line="360" w:lineRule="auto"/>
        <w:ind w:firstLine="709"/>
        <w:jc w:val="both"/>
      </w:pPr>
      <w:r>
        <w:t>Крім того, слід уточнити повноваження Кабінету Міністрів України в частині забезпечення універсальної послуги, а також доповнити законопроект нормами щодо процедури контролю за використанням коштів компенсації постачальникам електронних комунікаційних послуг збитків, визначених відповідно до законодавства, понесених внаслідок зобов’язання з розгортання електронних комунікаційних мереж для надання універсальних послуг за рахунок коштів державного бюджету.</w:t>
      </w:r>
    </w:p>
    <w:p w:rsidR="000F315A" w:rsidRDefault="000F315A" w:rsidP="000F315A">
      <w:pPr>
        <w:spacing w:line="360" w:lineRule="auto"/>
        <w:ind w:firstLine="709"/>
        <w:jc w:val="both"/>
      </w:pPr>
      <w:r>
        <w:t xml:space="preserve">В той же час, Комітет вважає, що положення законопроекту, які викликають зауваження можливо доопрацювати до другого читання. Зазначене стосується також зауважень Головного науково-експертного управління Верховної Ради України, яке у своєму узагальнюючому висновку </w:t>
      </w:r>
      <w:r>
        <w:lastRenderedPageBreak/>
        <w:t xml:space="preserve">зазначило, що законопроект за результатами розгляду у першому читанні доцільно повернути суб’єктам </w:t>
      </w:r>
      <w:r w:rsidR="00AC553B">
        <w:t>права законодавчої ініціативи для</w:t>
      </w:r>
      <w:r>
        <w:t xml:space="preserve"> доопрацювання.</w:t>
      </w:r>
    </w:p>
    <w:p w:rsidR="000F315A" w:rsidRDefault="000F315A" w:rsidP="000F315A">
      <w:pPr>
        <w:spacing w:line="360" w:lineRule="auto"/>
        <w:ind w:firstLine="709"/>
        <w:jc w:val="both"/>
      </w:pPr>
      <w:r>
        <w:t>Враховуючи зазначене, за результатами обговорення Комітет ухвалив</w:t>
      </w:r>
      <w:r>
        <w:rPr>
          <w:lang w:val="ru-RU"/>
        </w:rPr>
        <w:t xml:space="preserve"> </w:t>
      </w:r>
      <w:r>
        <w:t xml:space="preserve">рекомендувати Верховній Раді України </w:t>
      </w:r>
      <w:r>
        <w:rPr>
          <w:b/>
        </w:rPr>
        <w:t xml:space="preserve">прийняти за основу </w:t>
      </w:r>
      <w:r>
        <w:t>проект Закону України «Про електронні комунікації», реєстр. № 3014 поданий 05.02.2020 народними депутатами України Федієнком О.П., Крячко М.В., та іншими з урахуванням зауважень, а саме:</w:t>
      </w:r>
    </w:p>
    <w:p w:rsidR="000F315A" w:rsidRDefault="000F315A" w:rsidP="000F315A">
      <w:pPr>
        <w:numPr>
          <w:ilvl w:val="0"/>
          <w:numId w:val="1"/>
        </w:numPr>
        <w:spacing w:line="360" w:lineRule="auto"/>
        <w:jc w:val="both"/>
      </w:pPr>
      <w:r>
        <w:t>виключення статей 7 та 8 законопроекту, які визначають статус та повноваження регуляторного органу;</w:t>
      </w:r>
    </w:p>
    <w:p w:rsidR="000F315A" w:rsidRDefault="000F315A" w:rsidP="000F315A">
      <w:pPr>
        <w:numPr>
          <w:ilvl w:val="0"/>
          <w:numId w:val="1"/>
        </w:numPr>
        <w:spacing w:line="360" w:lineRule="auto"/>
        <w:jc w:val="both"/>
      </w:pPr>
      <w:r>
        <w:t>виключення з тексту законопроекту норм щодо надання цільової адресної соціальної допомоги для отримання універсальних послуг;</w:t>
      </w:r>
    </w:p>
    <w:p w:rsidR="000F315A" w:rsidRDefault="000F315A" w:rsidP="000F315A">
      <w:pPr>
        <w:numPr>
          <w:ilvl w:val="0"/>
          <w:numId w:val="1"/>
        </w:numPr>
        <w:spacing w:line="360" w:lineRule="auto"/>
        <w:jc w:val="both"/>
      </w:pPr>
      <w:r>
        <w:t>уточнення повноважень Кабінету Міністрів України в частині забезпечення універсальної послуги, а також доповнити законопроект нормами щодо процедури контролю за використанням коштів компенсації постачальникам електронних комунікаційних послуг збитків, визначених відповідно до законодавства, понесених внаслідок зобов’язання з розгортання електронних комунікаційних мереж для надання універсальних послуг за рахунок коштів державного бюджету.</w:t>
      </w:r>
    </w:p>
    <w:p w:rsidR="000F315A" w:rsidRDefault="000F315A" w:rsidP="000F315A">
      <w:pPr>
        <w:spacing w:line="360" w:lineRule="auto"/>
        <w:ind w:firstLine="709"/>
        <w:jc w:val="both"/>
      </w:pPr>
      <w:r>
        <w:t>Співдоповідачем від Комітету із даного питання на Пленарному засіданні Верховної Ради України визначено заступника Голови Комітету Федієнка О.П.</w:t>
      </w:r>
    </w:p>
    <w:p w:rsidR="000F315A" w:rsidRDefault="000F315A" w:rsidP="000F315A">
      <w:pPr>
        <w:spacing w:line="360" w:lineRule="auto"/>
        <w:jc w:val="both"/>
        <w:rPr>
          <w:b/>
          <w:szCs w:val="28"/>
        </w:rPr>
      </w:pPr>
    </w:p>
    <w:p w:rsidR="000F315A" w:rsidRDefault="000F315A" w:rsidP="000F315A">
      <w:pPr>
        <w:spacing w:line="360" w:lineRule="auto"/>
        <w:jc w:val="both"/>
        <w:rPr>
          <w:b/>
          <w:szCs w:val="28"/>
        </w:rPr>
      </w:pPr>
    </w:p>
    <w:p w:rsidR="000F315A" w:rsidRDefault="000F315A" w:rsidP="000F315A">
      <w:pPr>
        <w:spacing w:line="360" w:lineRule="auto"/>
        <w:ind w:firstLine="709"/>
        <w:jc w:val="both"/>
        <w:rPr>
          <w:b/>
          <w:szCs w:val="28"/>
        </w:rPr>
      </w:pPr>
      <w:r>
        <w:rPr>
          <w:b/>
          <w:szCs w:val="28"/>
        </w:rPr>
        <w:t>Голова Комітету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М. </w:t>
      </w:r>
      <w:r w:rsidR="00B86F48">
        <w:rPr>
          <w:b/>
          <w:szCs w:val="28"/>
        </w:rPr>
        <w:t xml:space="preserve">В. </w:t>
      </w:r>
      <w:r>
        <w:rPr>
          <w:b/>
          <w:szCs w:val="28"/>
        </w:rPr>
        <w:t>Крячко</w:t>
      </w:r>
    </w:p>
    <w:p w:rsidR="00BF51EA" w:rsidRDefault="00BF51EA"/>
    <w:sectPr w:rsidR="00BF51EA" w:rsidSect="00B86AD4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4E9B" w:rsidRDefault="00564E9B" w:rsidP="00B86AD4">
      <w:r>
        <w:separator/>
      </w:r>
    </w:p>
  </w:endnote>
  <w:endnote w:type="continuationSeparator" w:id="0">
    <w:p w:rsidR="00564E9B" w:rsidRDefault="00564E9B" w:rsidP="00B86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4E9B" w:rsidRDefault="00564E9B" w:rsidP="00B86AD4">
      <w:r>
        <w:separator/>
      </w:r>
    </w:p>
  </w:footnote>
  <w:footnote w:type="continuationSeparator" w:id="0">
    <w:p w:rsidR="00564E9B" w:rsidRDefault="00564E9B" w:rsidP="00B86A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18368604"/>
      <w:docPartObj>
        <w:docPartGallery w:val="Page Numbers (Top of Page)"/>
        <w:docPartUnique/>
      </w:docPartObj>
    </w:sdtPr>
    <w:sdtEndPr/>
    <w:sdtContent>
      <w:p w:rsidR="00B86AD4" w:rsidRDefault="00B86AD4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65EE">
          <w:rPr>
            <w:noProof/>
          </w:rPr>
          <w:t>7</w:t>
        </w:r>
        <w:r>
          <w:fldChar w:fldCharType="end"/>
        </w:r>
      </w:p>
    </w:sdtContent>
  </w:sdt>
  <w:p w:rsidR="00B86AD4" w:rsidRDefault="00B86AD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972325"/>
    <w:multiLevelType w:val="hybridMultilevel"/>
    <w:tmpl w:val="2C96DEA6"/>
    <w:lvl w:ilvl="0" w:tplc="15FE097C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Times New Roman" w:hint="default"/>
      </w:rPr>
    </w:lvl>
    <w:lvl w:ilvl="2" w:tplc="0422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Times New Roman" w:hint="default"/>
      </w:rPr>
    </w:lvl>
    <w:lvl w:ilvl="5" w:tplc="0422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Times New Roman" w:hint="default"/>
      </w:rPr>
    </w:lvl>
    <w:lvl w:ilvl="8" w:tplc="0422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D2E"/>
    <w:rsid w:val="000E65EE"/>
    <w:rsid w:val="000F315A"/>
    <w:rsid w:val="004F7518"/>
    <w:rsid w:val="00564E9B"/>
    <w:rsid w:val="00733D2E"/>
    <w:rsid w:val="00763AFA"/>
    <w:rsid w:val="00970CBA"/>
    <w:rsid w:val="00AC553B"/>
    <w:rsid w:val="00B86AD4"/>
    <w:rsid w:val="00B86F48"/>
    <w:rsid w:val="00BF51EA"/>
    <w:rsid w:val="00C9258F"/>
    <w:rsid w:val="00CA1C95"/>
    <w:rsid w:val="00EB163B"/>
    <w:rsid w:val="00EC00C6"/>
    <w:rsid w:val="00EE3EE6"/>
    <w:rsid w:val="00F35706"/>
    <w:rsid w:val="00F55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2CD0B2-6050-47A5-AE32-C808C0365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315A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86AD4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B86AD4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5">
    <w:name w:val="footer"/>
    <w:basedOn w:val="a"/>
    <w:link w:val="a6"/>
    <w:uiPriority w:val="99"/>
    <w:unhideWhenUsed/>
    <w:rsid w:val="00B86AD4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B86AD4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B86F48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B86F48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742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7384</Words>
  <Characters>4210</Characters>
  <Application>Microsoft Office Word</Application>
  <DocSecurity>0</DocSecurity>
  <Lines>35</Lines>
  <Paragraphs>23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Поташев Сергій Валерійович</cp:lastModifiedBy>
  <cp:revision>2</cp:revision>
  <cp:lastPrinted>2020-06-15T12:04:00Z</cp:lastPrinted>
  <dcterms:created xsi:type="dcterms:W3CDTF">2020-06-15T15:10:00Z</dcterms:created>
  <dcterms:modified xsi:type="dcterms:W3CDTF">2020-06-15T15:10:00Z</dcterms:modified>
</cp:coreProperties>
</file>