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6C3" w:rsidRPr="001176C3" w:rsidRDefault="001176C3" w:rsidP="001176C3">
      <w:pPr>
        <w:spacing w:after="0" w:line="240" w:lineRule="auto"/>
        <w:ind w:firstLine="709"/>
        <w:jc w:val="right"/>
        <w:rPr>
          <w:rFonts w:ascii="Times New Roman" w:eastAsia="Times New Roman" w:hAnsi="Times New Roman"/>
          <w:sz w:val="24"/>
          <w:szCs w:val="24"/>
          <w:lang w:val="uk-UA" w:eastAsia="ru-RU"/>
        </w:rPr>
      </w:pPr>
      <w:r w:rsidRPr="001176C3">
        <w:rPr>
          <w:rFonts w:ascii="Times New Roman" w:eastAsia="Times New Roman" w:hAnsi="Times New Roman"/>
          <w:sz w:val="24"/>
          <w:szCs w:val="24"/>
          <w:lang w:val="uk-UA" w:eastAsia="ru-RU"/>
        </w:rPr>
        <w:t>До</w:t>
      </w:r>
      <w:r w:rsidRPr="001176C3">
        <w:rPr>
          <w:rFonts w:ascii="Times New Roman" w:eastAsia="Times New Roman" w:hAnsi="Times New Roman"/>
          <w:sz w:val="24"/>
          <w:szCs w:val="24"/>
          <w:lang w:eastAsia="ru-RU"/>
        </w:rPr>
        <w:t xml:space="preserve"> ре</w:t>
      </w:r>
      <w:r w:rsidRPr="001176C3">
        <w:rPr>
          <w:rFonts w:ascii="Times New Roman" w:eastAsia="Times New Roman" w:hAnsi="Times New Roman"/>
          <w:sz w:val="24"/>
          <w:szCs w:val="24"/>
          <w:lang w:val="uk-UA" w:eastAsia="ru-RU"/>
        </w:rPr>
        <w:t>є</w:t>
      </w:r>
      <w:r w:rsidRPr="001176C3">
        <w:rPr>
          <w:rFonts w:ascii="Times New Roman" w:eastAsia="Times New Roman" w:hAnsi="Times New Roman"/>
          <w:sz w:val="24"/>
          <w:szCs w:val="24"/>
          <w:lang w:eastAsia="ru-RU"/>
        </w:rPr>
        <w:t>стр.</w:t>
      </w:r>
      <w:r w:rsidRPr="001176C3">
        <w:rPr>
          <w:rFonts w:ascii="Times New Roman" w:eastAsia="Times New Roman" w:hAnsi="Times New Roman"/>
          <w:sz w:val="24"/>
          <w:szCs w:val="24"/>
          <w:lang w:val="uk-UA" w:eastAsia="ru-RU"/>
        </w:rPr>
        <w:t xml:space="preserve"> № 3014 від 05.02.2020</w:t>
      </w:r>
    </w:p>
    <w:p w:rsidR="001176C3" w:rsidRPr="001176C3" w:rsidRDefault="001176C3" w:rsidP="001176C3">
      <w:pPr>
        <w:spacing w:after="0" w:line="240" w:lineRule="auto"/>
        <w:ind w:firstLine="709"/>
        <w:jc w:val="right"/>
        <w:rPr>
          <w:rFonts w:ascii="Times New Roman" w:eastAsia="Times New Roman" w:hAnsi="Times New Roman"/>
          <w:sz w:val="24"/>
          <w:szCs w:val="24"/>
          <w:lang w:val="uk-UA" w:eastAsia="ru-RU"/>
        </w:rPr>
      </w:pPr>
    </w:p>
    <w:p w:rsidR="001176C3" w:rsidRPr="001176C3" w:rsidRDefault="001176C3" w:rsidP="001176C3">
      <w:pPr>
        <w:spacing w:after="0" w:line="240" w:lineRule="auto"/>
        <w:ind w:firstLine="709"/>
        <w:jc w:val="right"/>
        <w:rPr>
          <w:rFonts w:ascii="Times New Roman" w:eastAsia="Times New Roman" w:hAnsi="Times New Roman"/>
          <w:sz w:val="24"/>
          <w:szCs w:val="24"/>
          <w:lang w:val="uk-UA" w:eastAsia="ru-RU"/>
        </w:rPr>
      </w:pPr>
    </w:p>
    <w:p w:rsidR="001176C3" w:rsidRPr="001176C3" w:rsidRDefault="001176C3" w:rsidP="001176C3">
      <w:pPr>
        <w:spacing w:after="0" w:line="240" w:lineRule="auto"/>
        <w:jc w:val="center"/>
        <w:rPr>
          <w:rFonts w:ascii="Times New Roman" w:eastAsia="Times New Roman" w:hAnsi="Times New Roman"/>
          <w:sz w:val="28"/>
          <w:szCs w:val="28"/>
          <w:lang w:val="uk-UA" w:eastAsia="ru-RU"/>
        </w:rPr>
      </w:pPr>
    </w:p>
    <w:p w:rsidR="001176C3" w:rsidRPr="001176C3" w:rsidRDefault="001176C3" w:rsidP="001176C3">
      <w:pPr>
        <w:spacing w:after="0" w:line="240" w:lineRule="auto"/>
        <w:jc w:val="center"/>
        <w:rPr>
          <w:rFonts w:ascii="Times New Roman" w:eastAsia="Times New Roman" w:hAnsi="Times New Roman"/>
          <w:b/>
          <w:bCs/>
          <w:sz w:val="28"/>
          <w:szCs w:val="28"/>
          <w:lang w:val="uk-UA" w:eastAsia="ru-RU"/>
        </w:rPr>
      </w:pPr>
      <w:r w:rsidRPr="001176C3">
        <w:rPr>
          <w:rFonts w:ascii="Times New Roman" w:eastAsia="Times New Roman" w:hAnsi="Times New Roman"/>
          <w:b/>
          <w:bCs/>
          <w:sz w:val="28"/>
          <w:szCs w:val="28"/>
          <w:lang w:val="uk-UA" w:eastAsia="ru-RU"/>
        </w:rPr>
        <w:t>ЗАУВАЖЕННЯ</w:t>
      </w:r>
    </w:p>
    <w:p w:rsidR="001176C3" w:rsidRPr="001176C3" w:rsidRDefault="001176C3" w:rsidP="001176C3">
      <w:pPr>
        <w:spacing w:after="0" w:line="240" w:lineRule="auto"/>
        <w:jc w:val="center"/>
        <w:rPr>
          <w:rFonts w:ascii="Times New Roman" w:eastAsia="Times New Roman" w:hAnsi="Times New Roman"/>
          <w:b/>
          <w:bCs/>
          <w:sz w:val="28"/>
          <w:szCs w:val="28"/>
          <w:lang w:val="uk-UA" w:eastAsia="ru-RU"/>
        </w:rPr>
      </w:pPr>
      <w:r w:rsidRPr="001176C3">
        <w:rPr>
          <w:rFonts w:ascii="Times New Roman" w:eastAsia="Times New Roman" w:hAnsi="Times New Roman"/>
          <w:b/>
          <w:bCs/>
          <w:sz w:val="28"/>
          <w:szCs w:val="28"/>
          <w:lang w:val="uk-UA" w:eastAsia="ru-RU"/>
        </w:rPr>
        <w:t xml:space="preserve">до проекту </w:t>
      </w:r>
      <w:r w:rsidRPr="001176C3">
        <w:rPr>
          <w:rFonts w:ascii="Times New Roman" w:eastAsia="Times New Roman" w:hAnsi="Times New Roman"/>
          <w:b/>
          <w:bCs/>
          <w:sz w:val="28"/>
          <w:szCs w:val="28"/>
          <w:lang w:eastAsia="ru-RU"/>
        </w:rPr>
        <w:t xml:space="preserve">Закону </w:t>
      </w:r>
      <w:proofErr w:type="spellStart"/>
      <w:r w:rsidRPr="001176C3">
        <w:rPr>
          <w:rFonts w:ascii="Times New Roman" w:eastAsia="Times New Roman" w:hAnsi="Times New Roman"/>
          <w:b/>
          <w:bCs/>
          <w:sz w:val="28"/>
          <w:szCs w:val="28"/>
          <w:lang w:eastAsia="ru-RU"/>
        </w:rPr>
        <w:t>Укра</w:t>
      </w:r>
      <w:bookmarkStart w:id="0" w:name="_GoBack"/>
      <w:bookmarkEnd w:id="0"/>
      <w:r w:rsidRPr="001176C3">
        <w:rPr>
          <w:rFonts w:ascii="Times New Roman" w:eastAsia="Times New Roman" w:hAnsi="Times New Roman"/>
          <w:b/>
          <w:bCs/>
          <w:sz w:val="28"/>
          <w:szCs w:val="28"/>
          <w:lang w:eastAsia="ru-RU"/>
        </w:rPr>
        <w:t>їни</w:t>
      </w:r>
      <w:proofErr w:type="spellEnd"/>
      <w:r w:rsidRPr="001176C3">
        <w:rPr>
          <w:rFonts w:ascii="Times New Roman" w:eastAsia="Times New Roman" w:hAnsi="Times New Roman"/>
          <w:b/>
          <w:bCs/>
          <w:sz w:val="28"/>
          <w:szCs w:val="28"/>
          <w:lang w:eastAsia="ru-RU"/>
        </w:rPr>
        <w:t xml:space="preserve"> про </w:t>
      </w:r>
      <w:r w:rsidRPr="001176C3">
        <w:rPr>
          <w:rFonts w:ascii="Times New Roman" w:eastAsia="Times New Roman" w:hAnsi="Times New Roman"/>
          <w:b/>
          <w:bCs/>
          <w:sz w:val="28"/>
          <w:szCs w:val="28"/>
          <w:lang w:val="uk-UA" w:eastAsia="ru-RU"/>
        </w:rPr>
        <w:t>електронні комунікації</w:t>
      </w:r>
    </w:p>
    <w:p w:rsidR="001176C3" w:rsidRPr="001176C3" w:rsidRDefault="001176C3" w:rsidP="001176C3">
      <w:pPr>
        <w:spacing w:after="0" w:line="240" w:lineRule="auto"/>
        <w:rPr>
          <w:rFonts w:ascii="Times New Roman" w:eastAsia="Times New Roman" w:hAnsi="Times New Roman"/>
          <w:b/>
          <w:bCs/>
          <w:sz w:val="28"/>
          <w:szCs w:val="28"/>
          <w:lang w:val="uk-UA" w:eastAsia="ru-RU"/>
        </w:rPr>
      </w:pPr>
      <w:r w:rsidRPr="001176C3">
        <w:rPr>
          <w:rFonts w:ascii="Times New Roman" w:eastAsia="Times New Roman" w:hAnsi="Times New Roman"/>
          <w:b/>
          <w:bCs/>
          <w:sz w:val="28"/>
          <w:szCs w:val="28"/>
          <w:lang w:val="uk-UA" w:eastAsia="ru-RU"/>
        </w:rPr>
        <w:t xml:space="preserve">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У Головному юридичному управлінні розглянуто проект Закону України про електронні комунікації (далі – законопроект), доопрацьований Комітетом Верховної Ради України з питань цифрової трансформації у зв’язку з висловленими Президент</w:t>
      </w:r>
      <w:r w:rsidRPr="001176C3">
        <w:rPr>
          <w:rFonts w:ascii="Times New Roman" w:eastAsia="Times New Roman" w:hAnsi="Times New Roman"/>
          <w:sz w:val="28"/>
          <w:szCs w:val="28"/>
          <w:lang w:eastAsia="ru-RU"/>
        </w:rPr>
        <w:t>ом</w:t>
      </w:r>
      <w:r w:rsidRPr="001176C3">
        <w:rPr>
          <w:rFonts w:ascii="Times New Roman" w:eastAsia="Times New Roman" w:hAnsi="Times New Roman"/>
          <w:sz w:val="28"/>
          <w:szCs w:val="28"/>
          <w:lang w:val="uk-UA" w:eastAsia="ru-RU"/>
        </w:rPr>
        <w:t xml:space="preserve"> України пропозиціями.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Перш за все слід зазначити, що доопрацьовані положення законопроекту не повною мірою враховують пропозиції Президента України, оскільки наведений у них перелік не є вичерпним. Пропозиції Президента України, як і зауваження Головного юридичного управління, висловлені до відповідного законопроекту 29 вересня 2020 року, та висновки остаточної юридичної експертизи прийнятого Закону, зводилися до того, що поданий на підпис Президентові України Закон потребував суттєвого та ґрунтовного доопрацювання.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Відтак, натепер, аналіз поданого для юридичної експертизи законопроекту (навіть з урахуванням вже доопрацьованих положень) свідчить про те, що більшість зауважень Головного юридичного управління залишаються актуальними.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У зв’язку з цим вважаємо за необхідне ще раз звернути увагу на таке.</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i/>
          <w:sz w:val="28"/>
          <w:szCs w:val="28"/>
          <w:lang w:val="uk-UA" w:eastAsia="ru-RU"/>
        </w:rPr>
        <w:t xml:space="preserve"> І.</w:t>
      </w:r>
      <w:r w:rsidRPr="001176C3">
        <w:rPr>
          <w:rFonts w:ascii="Times New Roman" w:eastAsia="Times New Roman" w:hAnsi="Times New Roman"/>
          <w:sz w:val="28"/>
          <w:szCs w:val="28"/>
          <w:lang w:val="uk-UA" w:eastAsia="ru-RU"/>
        </w:rPr>
        <w:t xml:space="preserve"> </w:t>
      </w:r>
      <w:r w:rsidRPr="001176C3">
        <w:rPr>
          <w:rFonts w:ascii="Times New Roman" w:eastAsia="Times New Roman" w:hAnsi="Times New Roman"/>
          <w:i/>
          <w:sz w:val="28"/>
          <w:szCs w:val="28"/>
          <w:lang w:val="uk-UA" w:eastAsia="ru-RU"/>
        </w:rPr>
        <w:t>Окремі положення законопроекту суперечать Конституції України, не враховують правових позицій Конституційного Суду України, не узгоджуються з положеннями чинного законодавства та не містять достатніх і завершених правових механізмів його реалізації</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1. Так, законопроект містить значну кількість норм, які порушують принцип правової визначеності (як елемент верховенства права, обов’язок дотримання якого визначено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 (на це неодноразово звертав увагу Конституційний Суд України у своїх рішеннях від 2 листопада 2004 року №15-рп; від 22 вересня 2005 року №5-рп; від 1 червня 2016 року №2-рп; від 20 грудня </w:t>
      </w:r>
      <w:r w:rsidRPr="001176C3">
        <w:rPr>
          <w:rFonts w:ascii="Times New Roman" w:eastAsia="Times New Roman" w:hAnsi="Times New Roman"/>
          <w:sz w:val="28"/>
          <w:szCs w:val="28"/>
          <w:lang w:val="uk-UA" w:eastAsia="ru-RU"/>
        </w:rPr>
        <w:lastRenderedPageBreak/>
        <w:t>2017 року №2-рп; від 27 лютого 2018 року №1-рп; від 26 квітня 2018 року №4-рп).</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1.1.  Згідно з частиною першою статті 32 законопроекту управління електронними комунікаційними мережами та відповідальність за забезпечення їх сталості в умовах надзвичайного та воєнного стану покладатиметься на центральний орган виконавчої влади, що забезпечує формування та реалізацію державної політики у сферах організації спеціального зв’язку, захисту інформації. Разом з тим, законопроект не містить засад відповідальності зазначеного центрального органу виконавчої влади щодо забезпечення сталості електронних комунікаційних мереж в умовах надзвичайного та воєнного стану, що свідчить про незавершеність механізму правового регулювання.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1.2. Відповідно до частини другої статті 65 законопроекту для отримання рішення щодо можливості застосування в Україні нового типу радіообладнання або випромінювального пристрою на території України загальними користувачами виробник або його уповноважений представник в Україні має подавати додаткову інформацію (за бажанням).</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Таким чином, зважаючи на положення частини третьої цієї ж статті законопроекту, згідно з якими заява може бути залишена без розгляду, якщо документи подані з порушенням вимог частини другої цієї статті, діяльність регуляторного органу, з одного боку, залежатиме від бажання суб’єкта повідомити необхідний для прийняття законного рішення обсяг інформації, а з іншого –  державний орган отримує дискреційні повноваження та можливість діяти на власний розсуд. Відтак, подібні правові конструкції також не забезпечують виконання положень частини другої статті 19 Конституції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2. Низка положень законопроекту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2.1. Зокрема, це стосується: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віднесення до компетенції Кабінету Міністрів України повноважень щодо здійснення контролю за використанням коштів компенсації постачальникам електронних комунікаційних послуг збитків, визначених відповідно до законодавства, понесених внаслідок зобов’язання з розгортання електронних комунікаційних мереж для надання універсальних послуг за рахунок коштів державного бюджету у порядку, встановленому законодавством (пункт 8 частини першої статті 5);</w:t>
      </w:r>
    </w:p>
    <w:p w:rsidR="001176C3" w:rsidRPr="001176C3" w:rsidRDefault="001176C3" w:rsidP="001176C3">
      <w:pPr>
        <w:spacing w:before="120" w:after="0" w:line="240" w:lineRule="auto"/>
        <w:ind w:firstLine="567"/>
        <w:jc w:val="both"/>
        <w:rPr>
          <w:rFonts w:ascii="Times New Roman" w:eastAsia="Times New Roman" w:hAnsi="Times New Roman"/>
          <w:color w:val="000000" w:themeColor="text1"/>
          <w:sz w:val="28"/>
          <w:szCs w:val="28"/>
          <w:lang w:val="uk-UA" w:eastAsia="ru-RU"/>
        </w:rPr>
      </w:pPr>
      <w:r w:rsidRPr="001176C3">
        <w:rPr>
          <w:rFonts w:ascii="Times New Roman" w:eastAsia="Times New Roman" w:hAnsi="Times New Roman"/>
          <w:color w:val="000000" w:themeColor="text1"/>
          <w:sz w:val="28"/>
          <w:szCs w:val="28"/>
          <w:lang w:val="uk-UA" w:eastAsia="ru-RU"/>
        </w:rPr>
        <w:t xml:space="preserve">прийняття рішень регуляторним органом щодо спільного розташування і використання елементів інфраструктури електронних комунікаційних мереж відповідно до законодавства (частина друга статті 26); </w:t>
      </w:r>
    </w:p>
    <w:p w:rsidR="001176C3" w:rsidRPr="001176C3" w:rsidRDefault="001176C3" w:rsidP="001176C3">
      <w:pPr>
        <w:spacing w:before="120" w:after="0" w:line="240" w:lineRule="auto"/>
        <w:ind w:firstLine="567"/>
        <w:jc w:val="both"/>
        <w:rPr>
          <w:rFonts w:ascii="Times New Roman" w:eastAsia="Times New Roman" w:hAnsi="Times New Roman"/>
          <w:color w:val="000000" w:themeColor="text1"/>
          <w:sz w:val="28"/>
          <w:szCs w:val="28"/>
          <w:lang w:val="uk-UA" w:eastAsia="ru-RU"/>
        </w:rPr>
      </w:pPr>
      <w:r w:rsidRPr="001176C3">
        <w:rPr>
          <w:rFonts w:ascii="Times New Roman" w:eastAsia="Times New Roman" w:hAnsi="Times New Roman"/>
          <w:color w:val="000000" w:themeColor="text1"/>
          <w:sz w:val="28"/>
          <w:szCs w:val="28"/>
          <w:lang w:val="uk-UA" w:eastAsia="ru-RU"/>
        </w:rPr>
        <w:t>прийняття рішення регуляторним органом про визначення відповідно до законодавства умов спільного користування радіочастотним спектром (частина п’ята статті 58);</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встановлення регуляторним органом порядків оформлення експлуатаційних документів, пов’язаних з користуванням радіочастотним спектром, на суднові станції та радіоаматорам для їх дії як на території України, так і за її межами, у відповідності з нормами міжнародного та національного законодавства (частина четверта статті 63).</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2.2. Окремі положення законопроекту не узгоджуються з загальними вимогами до здійснення державного нагляду (контролю), передбаченими статтею 4 Закону України «Про основні засади державного нагляду (контролю) у сфері господарської діяльності», за якими виключно законами встановлюються органи, уповноважені здійснювати державний нагляд (контроль) у сфері господарської діяльності; види господарської діяльності, які є предметом державного нагляду (контролю); повноваження органів державного нагляду (контролю) щодо зупинення виробництва (виготовлення) або реалізації продукції, виконання робіт, надання послуг; вичерпний перелік підстав для зупинення господарської діяльності; спосіб та форми здійснення заходів здійснення державного нагляду (контролю); межі повноважень посадових осіб органів державного нагляду (контролю) щодо здійснення огляду територій або приміщень, які використовуються для провадження господарської діяльності.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Зокрема, це стосується: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визначення Генеральним штабом Збройних Сил України порядку здійснення державного нагляду та радіочастотного моніторингу щодо користування радіочастотним спектром спеціальними користувачами (пункт 8 частини другої статті 7);</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можливості під час проведення позапланової перевірки у випадках і у порядку, визначених регуляторним органом, здійснювати 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трафіка послуг міжособистісних електронних комунікацій з використанням нумерації та обчислення показників якості електронних комунікаційних послуг (частина п’ята статті 10).</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Ці положення не враховують вимог статті 19 Конституції, а також частини четвертої статті 19 Господарського кодексу України, згідно з якою «органи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3. Частиною другою статті 32 законопроекту передбачено, що для забезпечення можливості оперативно-технічного управління електронними комунікаційними мережами всіх постачальників електронних комунікаційних мереж та/або послуг в умовах надзвичайного та воєнного стану має бути створений національний центр оперативно-технічного управління електронними комунікаційними мережами України.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Вважаємо, що законодавче визначення особливостей правового статусу національного центру оперативно-технічного управління електронними комунікаційними мережами України та його завдань не випливає з </w:t>
      </w:r>
      <w:r w:rsidRPr="001176C3">
        <w:rPr>
          <w:rFonts w:ascii="Times New Roman" w:eastAsia="Times New Roman" w:hAnsi="Times New Roman"/>
          <w:sz w:val="28"/>
          <w:szCs w:val="28"/>
          <w:lang w:val="uk-UA" w:eastAsia="ru-RU"/>
        </w:rPr>
        <w:lastRenderedPageBreak/>
        <w:t>конституційної моделі організації влади в Україні, що базується на положеннях статті 6 Конституції України, за якою державна влада в Україні здійснюється на засадах її поділу на законодавчу, виконавчу та судову, і не належить до повноважень Верховної Ради України, віднесених до її відання Основним Законом України. Це не узгоджується з пунктом 9-1 статті 116 Конституції України, відповідно до якого до повноважень Кабінету Міністрів України належить утворення, реорганізація та ліквідація відповідно до закону міністерств та інших центральних органів виконавчої влади в межах коштів, передбачених на утримання органів виконавчої влади.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Так само за межами повноважень Верховної Ради України є визначення правового статусу, завдань та повноважень державного підприємства, що знаходиться у сфері управління регуляторного органу, до завдань якого належатиме здійснення радіочастотного моніторингу у смугах радіочастот загального користування. Адже згідно із статтями 8 і 19 Закону України «Про центральні органи виконавчої влади» повноваження з утворення, ліквідації, реорганізації підприємств, установ, організацій, затвердження їхніх положень (статутів), призначення на посади та звільнення з посад їх керівників, здійснення інших функцій з управління об’єктами державної власності належать відповідному міністру або керівникові центрального органу виконавчої влади (стаття 45).</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4.  Окремі положення законопроекту щодо затвердження спільних нормативно-правових актів центральних органів виконавчої влади не враховують вимог статті 117 Конституції України та не узгоджуються із Законом України «Про центральні органи виконавчої влади», якими прийняття центральними органами виконавчої влади спільних нормативно-правових актів не передбачено.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Зокрема, це стосується: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затвердження Кабінетом Міністрів України порядку компенсації спеціальним користувачам витрат, пов’язаних з конверсією із залученням позабюджетних коштів, за поданням центрального органу виконавчої влади в сферах електронних комунікацій та радіочастотного спектра, погодженим з Генеральним штабом Збройних Сил України та регуляторним органом (частина четверта статті 55);</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встановлення Кабінетом Міністрів України порядку застосування механізму компенсації, в тому числі розрахунку її вартості та залучення з цією метою бюджетних та/або позабюджетних коштів, за поданням центрального органу виконавчої влади в сферах електронних комунікацій та радіочастотного спектра, погодженим з регуляторним органом (частина друга статті 56);</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встановлення Кабінетом Міністрів України за поданням регуляторного органу розміру плати за ліцензію, отриману на умовах конкурсу, та початкового (мінімального) розміру плати за ліцензію, отриману на умовах аукціону (частина шоста статті 61);</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затвердження центральним органом виконавчої влади у сферах електронних комунікацій та радіочастотного спектра за погодженням з національним </w:t>
      </w:r>
      <w:r w:rsidRPr="001176C3">
        <w:rPr>
          <w:rFonts w:ascii="Times New Roman" w:eastAsia="Times New Roman" w:hAnsi="Times New Roman"/>
          <w:sz w:val="28"/>
          <w:szCs w:val="28"/>
          <w:lang w:val="uk-UA" w:eastAsia="ru-RU"/>
        </w:rPr>
        <w:lastRenderedPageBreak/>
        <w:t xml:space="preserve">регулятором та Генеральним штабом Збройних Сил України норм </w:t>
      </w:r>
      <w:proofErr w:type="spellStart"/>
      <w:r w:rsidRPr="001176C3">
        <w:rPr>
          <w:rFonts w:ascii="Times New Roman" w:eastAsia="Times New Roman" w:hAnsi="Times New Roman"/>
          <w:sz w:val="28"/>
          <w:szCs w:val="28"/>
          <w:lang w:val="uk-UA" w:eastAsia="ru-RU"/>
        </w:rPr>
        <w:t>частотно</w:t>
      </w:r>
      <w:proofErr w:type="spellEnd"/>
      <w:r w:rsidRPr="001176C3">
        <w:rPr>
          <w:rFonts w:ascii="Times New Roman" w:eastAsia="Times New Roman" w:hAnsi="Times New Roman"/>
          <w:sz w:val="28"/>
          <w:szCs w:val="28"/>
          <w:lang w:val="uk-UA" w:eastAsia="ru-RU"/>
        </w:rPr>
        <w:t xml:space="preserve">-територіального рознесення щодо забезпечення електромагнітної сумісності радіообладнання/випромінювальних пристроїв для спільного використання різними </w:t>
      </w:r>
      <w:proofErr w:type="spellStart"/>
      <w:r w:rsidRPr="001176C3">
        <w:rPr>
          <w:rFonts w:ascii="Times New Roman" w:eastAsia="Times New Roman" w:hAnsi="Times New Roman"/>
          <w:sz w:val="28"/>
          <w:szCs w:val="28"/>
          <w:lang w:val="uk-UA" w:eastAsia="ru-RU"/>
        </w:rPr>
        <w:t>радіотехнологіями</w:t>
      </w:r>
      <w:proofErr w:type="spellEnd"/>
      <w:r w:rsidRPr="001176C3">
        <w:rPr>
          <w:rFonts w:ascii="Times New Roman" w:eastAsia="Times New Roman" w:hAnsi="Times New Roman"/>
          <w:sz w:val="28"/>
          <w:szCs w:val="28"/>
          <w:lang w:val="uk-UA" w:eastAsia="ru-RU"/>
        </w:rPr>
        <w:t xml:space="preserve"> та </w:t>
      </w:r>
      <w:proofErr w:type="spellStart"/>
      <w:r w:rsidRPr="001176C3">
        <w:rPr>
          <w:rFonts w:ascii="Times New Roman" w:eastAsia="Times New Roman" w:hAnsi="Times New Roman"/>
          <w:sz w:val="28"/>
          <w:szCs w:val="28"/>
          <w:lang w:val="uk-UA" w:eastAsia="ru-RU"/>
        </w:rPr>
        <w:t>радіослужбами</w:t>
      </w:r>
      <w:proofErr w:type="spellEnd"/>
      <w:r w:rsidRPr="001176C3">
        <w:rPr>
          <w:rFonts w:ascii="Times New Roman" w:eastAsia="Times New Roman" w:hAnsi="Times New Roman"/>
          <w:sz w:val="28"/>
          <w:szCs w:val="28"/>
          <w:lang w:val="uk-UA" w:eastAsia="ru-RU"/>
        </w:rPr>
        <w:t xml:space="preserve"> загальних та спеціальних користувачів (частина друга статті 69);</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встановлення порядку взаємодії Генерального штабу Збройних Сил України та регуляторного органу з усунення дії джерел </w:t>
      </w:r>
      <w:proofErr w:type="spellStart"/>
      <w:r w:rsidRPr="001176C3">
        <w:rPr>
          <w:rFonts w:ascii="Times New Roman" w:eastAsia="Times New Roman" w:hAnsi="Times New Roman"/>
          <w:sz w:val="28"/>
          <w:szCs w:val="28"/>
          <w:lang w:val="uk-UA" w:eastAsia="ru-RU"/>
        </w:rPr>
        <w:t>радіозавад</w:t>
      </w:r>
      <w:proofErr w:type="spellEnd"/>
      <w:r w:rsidRPr="001176C3">
        <w:rPr>
          <w:rFonts w:ascii="Times New Roman" w:eastAsia="Times New Roman" w:hAnsi="Times New Roman"/>
          <w:sz w:val="28"/>
          <w:szCs w:val="28"/>
          <w:lang w:val="uk-UA" w:eastAsia="ru-RU"/>
        </w:rPr>
        <w:t>, виявлених під час здійснення заходів, передбачених частиною третьою цієї статті, у смугах радіочастот загального користування щодо радіообладнання спеціальних користувачів (частина четверта статті 73);</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0"/>
          <w:szCs w:val="20"/>
          <w:lang w:val="uk-UA" w:eastAsia="ru-RU"/>
        </w:rPr>
        <w:t xml:space="preserve"> </w:t>
      </w:r>
      <w:r w:rsidRPr="001176C3">
        <w:rPr>
          <w:rFonts w:ascii="Times New Roman" w:eastAsia="Times New Roman" w:hAnsi="Times New Roman"/>
          <w:sz w:val="28"/>
          <w:szCs w:val="28"/>
          <w:lang w:val="uk-UA" w:eastAsia="ru-RU"/>
        </w:rPr>
        <w:t>встановлення Кабінетом Міністрів України, за поданням центрального органу виконавчої влади в сферах електронних комунікацій та радіочастотного спектра, погодженим з регуляторним органом, порядку компенсації постачальникам електронних комунікаційних послуг збитків, визначених відповідно до законодавства, понесених внаслідок зобов’язання з розгортання електронних комунікаційних мереж для надання універсальних послуг за рахунок коштів державного бюджету та інших джерел, не заборонених законодавством, що визначаються законом про державний бюджет на відповідний рік (частина перша статті 102).</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Крім того, законопроектом не встановлено правового механізму неврахування Урядом України або відповідним центральним органом виконавчої влади пропозицій регуляторного органу, що не узгоджується з вимогами частини другої статей 19 і 120 Конституції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5. Положення статті 2 законопроекту, згідно з яким «абонентна плата – фіксований платіж, який може встановлювати постачальник електронних комунікаційних послуг для абонента за доступ на постійній основі до електронних комунікаційних послуг незалежно від факту їх отримання», є дискримінаційним та не відповідає пункту 6 частини першої статті 3 Цивільного кодексу України (далі – ЦК України), за змістом якого до загальних засад цивільного законодавства віднесено справедливість, добросовісність та розумність, оскільки зазначається, що сам факт надання послуги не є визначальним при її оплаті. При цьому слід зауважити, що відповідно до частини першої статті 1 ЦК України цивільним законодавством регулюються особисті немайнові та майнові відносини (цивільні відносини), засновані на юридичній рівності, вільному волевиявленні, майновій самостійності їх учасників. Водночас частиною першою статті 526 ЦК України чітко визначено, що «зобов'язання має виконуватися належним чином відповідно до умов договору та вимог цього Кодексу, інших актів цивільного законодавства, а за відсутності таких умов та вимог – відповідно до звичаїв ділового обороту або інших вимог, що звичайно ставляться». Враховуючи, що надання послуг за договором є цивільно-правовим зобов'язанням, то кожна сторона повинна належним чином виконати свій обов'язок. Тобто, обов'язок однієї сторони щодо надання послуг кореспондується з обов'язком іншої сторони щодо оплати цих послуг.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Разом з тим, наведене положення не враховує вимог частини четвертої статті 13 Конституції України, за якою «усі суб'єкти права власності рівні перед законом».</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Крім того, існує внутрішня неузгодженість згаданого положення з пунктом 1 частини першої статті 108 законопроекту, згідно з яким «кінцеві користувачі електронних комунікаційних послуг зобов'язані дотримуватися правил надання та отримання електронних комунікаційних послуг, зокрема, оплачувати замовлені та отримані електронні комунікаційні послуги, у тому числі абонентську плату та вартість пакетів послуг».</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6. Відповідно до першого речення частини першої статті 112 законопроекту «договір про надання електронних комунікаційних послуг укладається відповідно до правил надання та отримання електронних комунікаційних послуг з урахуванням вимог цієї статті». Однак це положення не відповідає принципу правової визначеності як елементу верховенства права (стаття 8 Конституції України), оскільки однозначно не відповідає на питання – яким чином «правила надання та отримання електронних комунікаційних послуг» (тобто підзаконний акт) регулюватимуть законодавчо визначений порядок укладення договору?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Водночас слід зауважити, що це положення у кореспонденції з другим реченням частини другої статті 112 свідчить про те, що «правила надання та отримання електронних комунікаційних послуг» (тобто підзаконний акт) визначатимуть вимоги до змісту договору (істотні умови). А це суперечить частині першій статті 638 ЦК України, якою чітко визначено, що «договір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 Таким чином, істотні умови можуть визначатися виключно законом, а не підзаконним актом.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При цьому не враховано вимог пункту 7 частини першої статті 92 Конституції України, за яким виключно законами України визначається правовий режим власності (правовий режим власності охоплює порядок набуття/відчуження об’єкта права власності). У цьому контексті слід навести низку юридичних позицій Конституційного Суду України, відповідно до яких:</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абзацу другого пункту 3 мотивувальної частини Рішення від 13 грудня 2000 року № 14-рп);</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 (четверте речення абзацу другого підпункту 3.4 пункту 3 мотивувальної частини Рішення від 20 червня 2007 року № 5-рп);</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правовий режим власності, порядок і умови набуття та припинення права власності, а також права володіння, користування та розпорядження майном </w:t>
      </w:r>
      <w:r w:rsidRPr="001176C3">
        <w:rPr>
          <w:rFonts w:ascii="Times New Roman" w:eastAsia="Times New Roman" w:hAnsi="Times New Roman"/>
          <w:sz w:val="28"/>
          <w:szCs w:val="28"/>
          <w:lang w:val="uk-UA" w:eastAsia="ru-RU"/>
        </w:rPr>
        <w:lastRenderedPageBreak/>
        <w:t>(землею) визначаються законом (абзац третій підпункту 3.2 пункту 3 мотивувальної частини Рішення від 11 листопада 2008 року № 25-рп).</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Аналогічні за змістом зауваження стосуються також таких положень законопроекту: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пункту 4 частини другої статті 100, за яким «при наданні універсальних електронних комунікаційних послуг постачальник таких послуг повинен надавати універсальні електронні комунікаційні послуги на підставі публічного договору приєднання, який повинен відповідати вимогам, визначеним статтею 103 цього Закону та правилами надання та отримання електронних комунікаційних послуг, що затверджуються Кабінетом Міністрів України, та оприлюднюватися на веб-сайті постачальника електронних комунікаційних послуг у форматі відкритих даних». До того ж термін «публічний договір приєднання» не узгоджується з класифікацією договорів відповідно до ЦК України, згідно з яким «публічний договір» (стаття 633) та «договір приєднання» (стаття 634) є двома різними договорами;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частини першої статті 103, за якою «у разі надання універсальних електронних комунікаційних послуг постачальником електронних комунікаційних послуг, призначеним відповідно до статті 101 цього Закону, умови їх надання визначаються постачальником таких послуг відповідно до цього Закону і правил надання та отримання електронних комунікаційних послуг»;</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пункту 1 частини третьої статті 104, за яким «умовами надання та отримання електронних комунікаційних послуг кінцевому користувачу є укладення договору про надання електронних комунікаційних послуг відповідно та правил надання та отримання електронних комунікаційних послуг та інших актів законодавства».</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Крім того, положення третього речення частини другої статті 112, за яким «договір вважається укладеним за умови, якщо кінцевий користувач висловив свою безсумнівну та добровільну згоду на його укладення», позбавлене правової визначеності та </w:t>
      </w:r>
      <w:proofErr w:type="spellStart"/>
      <w:r w:rsidRPr="001176C3">
        <w:rPr>
          <w:rFonts w:ascii="Times New Roman" w:eastAsia="Times New Roman" w:hAnsi="Times New Roman"/>
          <w:sz w:val="28"/>
          <w:szCs w:val="28"/>
          <w:lang w:val="uk-UA" w:eastAsia="ru-RU"/>
        </w:rPr>
        <w:t>розрегульовує</w:t>
      </w:r>
      <w:proofErr w:type="spellEnd"/>
      <w:r w:rsidRPr="001176C3">
        <w:rPr>
          <w:rFonts w:ascii="Times New Roman" w:eastAsia="Times New Roman" w:hAnsi="Times New Roman"/>
          <w:sz w:val="28"/>
          <w:szCs w:val="28"/>
          <w:lang w:val="uk-UA" w:eastAsia="ru-RU"/>
        </w:rPr>
        <w:t xml:space="preserve"> правовідносини, оскільки не відповідає абзацу першому частини першої статті 638 ЦК України, згідно з яким договір є укладеним, якщо сторони в належній формі досягли згоди з усіх істотних умов договору, та частині першій статті 640 ЦК України, відповідно до якої «договір є укладеним з моменту одержання особою, яка направила пропозицію укласти договір, відповіді про прийняття цієї пропозиції».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Аналогічно не відповідає принципу правової визначеності та створює неприпустиму законодавчу колізію положення абзацу першого частини третьої статті 112, згідно з яким «договір про надання електронних комунікаційних послуг може бути розірваний достроково кожною із сторін у випадках, прямо передбачених самим договором, правилами надання та отримання електронних комунікаційних послуг, цим Законом, в інших випадках, визначених законодавством», оскільки суперечить частині першій статті 651 ЦК України, за змістом якої «зміна або розірвання договору допускається лише за згодою сторін, якщо інше не встановлено договором або законом».</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До того ж положення абзацу першого частини п'ятої статті 112 законопроекту, яким визначено, що «кінцеві користувачі мають право розірвати договір про надання електронних комунікаційних послуг без додаткових витрат після повідомлення про зміни в договірних умовах, запропонованих постачальником міжособистісних електронних комунікаційних послуг, крім передбачених правилами надання та отримання електронних комунікаційних послуг випадків, коли запропоновані зміни є виключно на користь чи не мають негативного впливу на кінцевого користувача або прямо передбачені законодавством», не враховує положень частини другої статті 651 ЦК України, за змістом якої «договір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 а також положень статті 652 ЦК України, якою допускається зміна або розірвання договору у зв'язку з істотною зміною обставин.</w:t>
      </w:r>
    </w:p>
    <w:p w:rsidR="001176C3" w:rsidRPr="001176C3" w:rsidRDefault="001176C3" w:rsidP="001176C3">
      <w:pPr>
        <w:spacing w:before="120" w:after="0" w:line="240" w:lineRule="auto"/>
        <w:ind w:firstLine="567"/>
        <w:jc w:val="both"/>
        <w:rPr>
          <w:rFonts w:ascii="Times New Roman" w:eastAsia="Times New Roman" w:hAnsi="Times New Roman"/>
          <w:i/>
          <w:sz w:val="28"/>
          <w:szCs w:val="28"/>
          <w:lang w:val="uk-UA" w:eastAsia="ru-RU"/>
        </w:rPr>
      </w:pPr>
      <w:r w:rsidRPr="001176C3">
        <w:rPr>
          <w:rFonts w:ascii="Times New Roman" w:eastAsia="Times New Roman" w:hAnsi="Times New Roman"/>
          <w:i/>
          <w:sz w:val="28"/>
          <w:szCs w:val="28"/>
          <w:lang w:val="uk-UA" w:eastAsia="ru-RU"/>
        </w:rPr>
        <w:t xml:space="preserve">ІІІ. Щодо окремих положень законопроекту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1. Відповідно до статті 2 законопроекту «споживач послуг – будь-яка фізична особа, яка використовує або замовляє електронну комунікаційну послугу для власних потреб та не надає електронних комунікаційних послуг». Проте, таке визначення не узгоджується з пунктом 22 статті 1 Закону України «Про захист прав споживачів», за яким «споживач – фізична особа, яка придбаває, замовляє, використовує або має намір придбати чи замовити продукцію для особистих потреб, безпосередньо не пов'язаних з підприємницькою діяльністю або виконанням обов'язків найманого працівника». Відтак, це положення не враховує правової позиції Конституційного Суду України, викладеної у Рішенні від 3 жовтня 1997 року № 4-зп, згідно з яким конкретна сфера суспільних відносин не може бути водночас врегульована </w:t>
      </w:r>
      <w:proofErr w:type="spellStart"/>
      <w:r w:rsidRPr="001176C3">
        <w:rPr>
          <w:rFonts w:ascii="Times New Roman" w:eastAsia="Times New Roman" w:hAnsi="Times New Roman"/>
          <w:sz w:val="28"/>
          <w:szCs w:val="28"/>
          <w:lang w:val="uk-UA" w:eastAsia="ru-RU"/>
        </w:rPr>
        <w:t>однопредметними</w:t>
      </w:r>
      <w:proofErr w:type="spellEnd"/>
      <w:r w:rsidRPr="001176C3">
        <w:rPr>
          <w:rFonts w:ascii="Times New Roman" w:eastAsia="Times New Roman" w:hAnsi="Times New Roman"/>
          <w:sz w:val="28"/>
          <w:szCs w:val="28"/>
          <w:lang w:val="uk-UA" w:eastAsia="ru-RU"/>
        </w:rPr>
        <w:t xml:space="preserve"> нормативними правовими актами однакової сили, які за змістом суперечать один одному.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Водночас з огляду на існування </w:t>
      </w:r>
      <w:proofErr w:type="spellStart"/>
      <w:r w:rsidRPr="001176C3">
        <w:rPr>
          <w:rFonts w:ascii="Times New Roman" w:eastAsia="Times New Roman" w:hAnsi="Times New Roman"/>
          <w:sz w:val="28"/>
          <w:szCs w:val="28"/>
          <w:lang w:val="uk-UA" w:eastAsia="ru-RU"/>
        </w:rPr>
        <w:t>терміна</w:t>
      </w:r>
      <w:proofErr w:type="spellEnd"/>
      <w:r w:rsidRPr="001176C3">
        <w:rPr>
          <w:rFonts w:ascii="Times New Roman" w:eastAsia="Times New Roman" w:hAnsi="Times New Roman"/>
          <w:sz w:val="28"/>
          <w:szCs w:val="28"/>
          <w:lang w:val="uk-UA" w:eastAsia="ru-RU"/>
        </w:rPr>
        <w:t xml:space="preserve"> «споживач» у спеціальному законодавчому акті, що регулює відносини за участю споживачів, визначення </w:t>
      </w:r>
      <w:proofErr w:type="spellStart"/>
      <w:r w:rsidRPr="001176C3">
        <w:rPr>
          <w:rFonts w:ascii="Times New Roman" w:eastAsia="Times New Roman" w:hAnsi="Times New Roman"/>
          <w:sz w:val="28"/>
          <w:szCs w:val="28"/>
          <w:lang w:val="uk-UA" w:eastAsia="ru-RU"/>
        </w:rPr>
        <w:t>терміна</w:t>
      </w:r>
      <w:proofErr w:type="spellEnd"/>
      <w:r w:rsidRPr="001176C3">
        <w:rPr>
          <w:rFonts w:ascii="Times New Roman" w:eastAsia="Times New Roman" w:hAnsi="Times New Roman"/>
          <w:sz w:val="28"/>
          <w:szCs w:val="28"/>
          <w:lang w:val="uk-UA" w:eastAsia="ru-RU"/>
        </w:rPr>
        <w:t xml:space="preserve"> «споживач послуг» в іншому законі є зайвим і лише перевантажує законодавство.</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2.  Згідно з пунктом 3 частини першої статті 6 законопроекту до відання центрального органу виконавчої влади в сферах електронних комунікацій та радіочастотного спектра, що відповідальний за здійснення таких повноважень у сфері електронних комунікацій, пропонується віднести повноваження з розроблення та затвердження нормативно-правових актів у сферах електронних комунікацій та радіочастотного ресурсу. Такий нормотворчий підхід не враховує вимог частини першої статті 7 Закону України «Про центральні органи виконавчої влади», згідно з якими забезпечення нормативно-правового регулювання належить до завдань міністерств, тоді як центральні органи виконавчої влади уповноважені лише вносити пропозиції щодо забезпечення формування державної політики на розгляд міністрів, які спрямовують та координують їх діяльність (пункт 4 частини першої статті 17 зазначеного Закону).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3. Статтею 8 законопроекту визначаються вимоги до «автоматизованої інформаційно-аналітичної системи регуляторного органу, що використовується для виконання його повноважень, передбачених цим Законом, та надання ним адміністративних послуг в електронному вигляді, електронного обміну інформацією, документами та взаємодії з постачальниками електронних комунікаційних мереж та/або послуг, постачальниками радіообладнання, користувачами радіочастотного спектру та ресурсів нумерації, користувачами послуг електронних комунікацій».</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Як відомо, закони України є нормативно-правовими актами вищої юридичної сили, що регулюють найважливіші суспільні відносини шляхом встановлення загальнообов’язкових правил поведінки суб’єктів цих відносин. Відповідно законами визначається їх дія в часі, просторі та за колом осіб, а не встановлюються вимоги до автоматизованої інформаційно-аналітичної системи, що передбачається статтею 8 законопроекту, норми якої притаманні скоріше технічному регламенту, ніж закону.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color w:val="000000" w:themeColor="text1"/>
          <w:sz w:val="28"/>
          <w:szCs w:val="28"/>
          <w:lang w:val="uk-UA" w:eastAsia="ru-RU"/>
        </w:rPr>
        <w:t>4.</w:t>
      </w:r>
      <w:r w:rsidRPr="001176C3">
        <w:rPr>
          <w:rFonts w:ascii="Times New Roman" w:eastAsia="Times New Roman" w:hAnsi="Times New Roman"/>
          <w:sz w:val="28"/>
          <w:szCs w:val="28"/>
          <w:lang w:val="uk-UA" w:eastAsia="ru-RU"/>
        </w:rPr>
        <w:t xml:space="preserve"> Пунктом 11 частини першої статті 11 законопроекту передбачається визначити, що «для здійснення державного нагляду (контролю) уповноважені посадові особи регуляторного органу мають право: … 13) інші права, визначені Кодексом України про адміністративні правопорушення». Наведене положення носить </w:t>
      </w:r>
      <w:proofErr w:type="spellStart"/>
      <w:r w:rsidRPr="001176C3">
        <w:rPr>
          <w:rFonts w:ascii="Times New Roman" w:eastAsia="Times New Roman" w:hAnsi="Times New Roman"/>
          <w:sz w:val="28"/>
          <w:szCs w:val="28"/>
          <w:lang w:val="uk-UA" w:eastAsia="ru-RU"/>
        </w:rPr>
        <w:t>бланкетний</w:t>
      </w:r>
      <w:proofErr w:type="spellEnd"/>
      <w:r w:rsidRPr="001176C3">
        <w:rPr>
          <w:rFonts w:ascii="Times New Roman" w:eastAsia="Times New Roman" w:hAnsi="Times New Roman"/>
          <w:sz w:val="28"/>
          <w:szCs w:val="28"/>
          <w:lang w:val="uk-UA" w:eastAsia="ru-RU"/>
        </w:rPr>
        <w:t xml:space="preserve"> характер та відсилає до законодавчого акта, основним завданням якого є «охорона прав і свобод громадян, власності, конституційного ладу України, прав і законних інтересів підприємств, установ і організацій, встановленого правопорядку, зміцнення законності, запобігання правопорушенням, виховання громадян у дусі точного і неухильного додержання Конституції і законів України, поваги до прав, честі і гідності інших громадян, до правил співжиття, сумлінного виконання своїх обов'язків, відповідальності перед суспільством». Однак така концепція є вкрай неприйнятною та не відповідає положенням частини другої статті 19 Конституції України, оскільки певні права (чи повноваження) повинні встановлюватися в основному законодавчому акті, до предмета якого вони відносяться. Водночас процесуальне законодавче положення, яке б забезпечувало можливість здійснення цього права, може міститися, зокрема в Кодексі України про адміністративні правопорушення, але не навпаки.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5. Словосполучення «договори купівлі, що ведуть до виникнення організаційних прав» (частина перша статті 92 законопроекту) позбавлене однозначного правового змісту, оскільки відповідно до частини першої статті 655 ЦК України «за договором купівлі-продажу одна сторона (продавець) передає або зобов'язується передати майно (товар) у власність другій стороні (покупцеві), а покупець приймає або зобов'язується прийняти майно (товар) і сплатити за нього певну грошову суму». Тобто, договір купівлі-продажу, відповідно до основного акта цивільного законодавства є майновим, а не таким, який «веде до виникнення організаційних прав». Крім того, словосполучення «виникнення організаційних прав» є юридично некоректним та не дозволяє однозначно встановити його зміст та приналежність до відповідного договірного типу, чим допускає множинність його тлумачення і правозастосування.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 xml:space="preserve">6. Частиною восьмою статті 104 законопроекту передбачається, що «надання та отримання електронних комунікаційних послуг органами державної влади та органами місцевого самоврядування здійснюватиметься на договірних засадах відповідно до цього Закону». Однак таке положення не узгоджується з нормами ЦК України як основного акта цивільного законодавства, який встановлює фундаментальні засади договірного регулювання приватноправових відносин, та положеннями статті 8 Господарського кодексу України (далі – ГК України), якою визначається «участь держави, органів державної влади, органів місцевого самоврядування в господарській діяльності». Таким чином, відповідний законопроект може встановлювати певні особливості цивільно-правового регулювання договірних відносин, однак як певне доповнення і з повним та всебічним урахуванням положень ЦК та ГК України, а не інакше.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Водночас слід врахувати також вимоги абзацу третього частини другої статті 4 ЦК України, згідно з якими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 Слід зазначити, що зміни до ЦК України досі не ініційовано.</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7. Окремі положення законопроекту є зайвими, оскільки не несуть реального юридичного навантаження та фактично дублюють норми (хоча і не зовсім </w:t>
      </w:r>
      <w:proofErr w:type="spellStart"/>
      <w:r w:rsidRPr="001176C3">
        <w:rPr>
          <w:rFonts w:ascii="Times New Roman" w:eastAsia="Times New Roman" w:hAnsi="Times New Roman"/>
          <w:sz w:val="28"/>
          <w:szCs w:val="28"/>
          <w:lang w:val="uk-UA" w:eastAsia="ru-RU"/>
        </w:rPr>
        <w:t>коректно</w:t>
      </w:r>
      <w:proofErr w:type="spellEnd"/>
      <w:r w:rsidRPr="001176C3">
        <w:rPr>
          <w:rFonts w:ascii="Times New Roman" w:eastAsia="Times New Roman" w:hAnsi="Times New Roman"/>
          <w:sz w:val="28"/>
          <w:szCs w:val="28"/>
          <w:lang w:val="uk-UA" w:eastAsia="ru-RU"/>
        </w:rPr>
        <w:t>) інших законодавчих актів. Це стосується, зокрема:</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частини другої статті 108, згідно з якою «кінцеві користувачі електронних комунікаційних послуг зобов'язані виконувати інші обов'язки відповідно до законодавства України та договору з постачальником електронних комунікаційних мереж та/або послуг»;</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частини другої статті 109, за якою «сплата кінцевим користувачем пені … не звільняє кінцевого користувача від обов'язку оплатити в повному обсязі надані йому електронні комунікаційні послуги»;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другого речення частини першої статті 112, згідно з яким «договір може бути укладено, зокрема, у письмовій чи усній формі як публічний договір чи договір приєднання відповідно до положень Цивільного кодексу України, а також дистанційно шляхом надання згоди кінцевого користувача на його укладення, висловленої із застосуванням засобів електронної ідентифікації відповідно до Закону України «Про електронні довірчі послуги», Закону України «Про електронну комерцію», а також шляхом вчинення активної конклюдентної дії кінцевого користувача, яка безсумнівно свідчить про його попередню згоду укласти договір та зафіксована обладнанням постачальника електронних комунікаційних послуг»;</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частини шостої статті 112, за якою «будь-яке істотне порушення умов договору про надання електронних комунікаційних послуг чи параметрів якості послуг, що надаються на його підставі, – є підставою для застосування кінцевим </w:t>
      </w:r>
      <w:r w:rsidRPr="001176C3">
        <w:rPr>
          <w:rFonts w:ascii="Times New Roman" w:eastAsia="Times New Roman" w:hAnsi="Times New Roman"/>
          <w:sz w:val="28"/>
          <w:szCs w:val="28"/>
          <w:lang w:val="uk-UA" w:eastAsia="ru-RU"/>
        </w:rPr>
        <w:lastRenderedPageBreak/>
        <w:t>користувачем засобів правового захисту відповідно до законодавства, включаючи право на безкоштовне та дострокове розірвання договору»;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частини третьої статті 125, за змістом якої «питання відшкодування завданих кінцевому користувачу збитків, майнової та моральної шкоди через неналежне виконання постачальником електронних комунікаційних послуг обов’язків за договором про надання електронних комунікаційних послуг вирішуються в судовому порядку»;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частини шостої статті 127, за якою «суб’єкт господарювання має право оскаржити до суду рішення регуляторного органу про накладення на нього адміністративно-господарських санкцій».</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Таким чином, наведені положення законопроекту фактично є лише частиною великого масиву повторів і </w:t>
      </w:r>
      <w:proofErr w:type="spellStart"/>
      <w:r w:rsidRPr="001176C3">
        <w:rPr>
          <w:rFonts w:ascii="Times New Roman" w:eastAsia="Times New Roman" w:hAnsi="Times New Roman"/>
          <w:sz w:val="28"/>
          <w:szCs w:val="28"/>
          <w:lang w:val="uk-UA" w:eastAsia="ru-RU"/>
        </w:rPr>
        <w:t>дублювань</w:t>
      </w:r>
      <w:proofErr w:type="spellEnd"/>
      <w:r w:rsidRPr="001176C3">
        <w:rPr>
          <w:rFonts w:ascii="Times New Roman" w:eastAsia="Times New Roman" w:hAnsi="Times New Roman"/>
          <w:sz w:val="28"/>
          <w:szCs w:val="28"/>
          <w:lang w:val="uk-UA" w:eastAsia="ru-RU"/>
        </w:rPr>
        <w:t xml:space="preserve"> існуючих законодавчих положень, що не відповідає принципу економії нормативного матеріалу, призводить до значної </w:t>
      </w:r>
      <w:proofErr w:type="spellStart"/>
      <w:r w:rsidRPr="001176C3">
        <w:rPr>
          <w:rFonts w:ascii="Times New Roman" w:eastAsia="Times New Roman" w:hAnsi="Times New Roman"/>
          <w:sz w:val="28"/>
          <w:szCs w:val="28"/>
          <w:lang w:val="uk-UA" w:eastAsia="ru-RU"/>
        </w:rPr>
        <w:t>зарегульованості</w:t>
      </w:r>
      <w:proofErr w:type="spellEnd"/>
      <w:r w:rsidRPr="001176C3">
        <w:rPr>
          <w:rFonts w:ascii="Times New Roman" w:eastAsia="Times New Roman" w:hAnsi="Times New Roman"/>
          <w:sz w:val="28"/>
          <w:szCs w:val="28"/>
          <w:lang w:val="uk-UA" w:eastAsia="ru-RU"/>
        </w:rPr>
        <w:t xml:space="preserve"> відносин у цій сфері та не відображає духу закону щодо регулювання найбільш важливих суспільних відносин.</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8. Підпунктом 3 пункту 3 розділу ХІХ «Прикінцеві та перехідні положення» законопроекту частину другу статті 191 ГК України доповнено словами «та іншими законами». Це нововведення фактично створить ситуацію, коли державне регулювання цін здійснюватиметься згідно із Законом України «Про ціни і ціноутворення» та іншими законами. Однак це положення не враховує того факту, що відповідно до преамбули Закону України «Про ціни і ціноутворення» саме «цей Закон визначає основні засади цінової політики і регулює відносини, що виникають у процесі формування, встановлення та застосування цін, а також здійснення державного контролю (нагляду) та спостереження у сфері ціноутворення».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Таким чином, буде створено неприпустиму правову колізію, за якої державне регулювання цін фактично здійснюватиметься відповідно до положень двох рівнозначних законів. Крім того, цілком ймовірно, що таке регулювання може бути відмінним від правового регулювання відносин, встановлених Законом України «Про ціни і ціноутворення». Відтак, згадане положення законопроекту також не узгоджується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1176C3">
        <w:rPr>
          <w:rFonts w:ascii="Times New Roman" w:eastAsia="Times New Roman" w:hAnsi="Times New Roman"/>
          <w:sz w:val="28"/>
          <w:szCs w:val="28"/>
          <w:lang w:val="uk-UA" w:eastAsia="ru-RU"/>
        </w:rPr>
        <w:t>однопредметними</w:t>
      </w:r>
      <w:proofErr w:type="spellEnd"/>
      <w:r w:rsidRPr="001176C3">
        <w:rPr>
          <w:rFonts w:ascii="Times New Roman" w:eastAsia="Times New Roman" w:hAnsi="Times New Roman"/>
          <w:sz w:val="28"/>
          <w:szCs w:val="28"/>
          <w:lang w:val="uk-UA" w:eastAsia="ru-RU"/>
        </w:rPr>
        <w:t xml:space="preserve"> нормативними правовими актами однакової сили, які за змістом суперечать один одному.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Водночас, враховуючи наведене, слід зауважити, що загалом у законі допускається формулювання норм щодо державного регулювання цін у сферах, що охоплюватимуться предметом закону (у разі набрання ним чинності), шляхом визначення його певних особливостей, але базуючись на основних засадах державного регулювання цін відповідно до Закону України «Про ціни і ціноутворення», а не інакше.</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9. Щодо змін до ЦПК України та Закону України «Про оперативно-розшукову діяльність»</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9.1. Законопроектом пропонується внести зміни до відповідних статей Цивільного процесуального кодексу України, якими, зокрема назву «Єдина судова інформаційно-телекомунікаційна система» змінено на «Єдина судова інформаційно-комунікаційна система».</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Слід заначити, що Господарський процесуальний кодекс України та Кодекс адміністративного судочинства України також містять положення щодо функціонування Єдиної судової інформаційно-телекомунікаційної системи в господарських та адміністративних судах. Проте законопроектом відповідні зміни до цих Кодексів не пропонується внести, що свідчить про відсутність системного унормування та неповноту правового регулювання суспільних відносин, що не відповідає визначенню України як правової держави, на чому неодноразово наголошував Конституційний Суд України (рішення від 22 вересня 2005 року № 5-рп, від 30 вересня 2010 року № 20-рп, від 22 грудня 2010 року № 23-рп).</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9.2. Відповідно до пропонованих законопроектом змін до пункту 9 частини першої та частини третьої статті 8 Закону України «Про оперативно-розшукову діяльність» оперативним підрозділам для виконання завдань оперативно-розшукової діяльності надається, зокрема право здійснювати зняття інформації з електронних комунікаційних мереж згідно з положеннями статті 263 Кримінального процесуального кодексу України (далі - КПК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Однак такі нововведення не узгоджуються  із частиною четвертою статті 258, статтею  263, частиною першою статті 265, частиною третьою статті 268 КПК України, в яких залишаються врегульованими питання зняття інформації з транспортних телекомунікаційних мереж.</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10.  Законопроектом пропонується надати право ліцензіатам безоплатно переоформити ліцензії на користування радіочастотним спектром України на ліцензії на користування радіочастотним спектром протягом року з дня набрання чинності планом розподілу та користування радіочастотного спектру в Україні, якщо інше не передбачено цим планом. Такий нормотворчий підхід є юридично некоректним, оскільки дія окремих норм цього закону (у випадку набрання ним чинності) ставиться у залежність від набрання чинності підзаконними нормативно-правовими актами, затвердження яких належить до компетенції Уряду України (пункт 5 частини першої статті 5).</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11. Відповідно до положень частини третьої статті 25 законопроекту «оператори мають право вимагати від власників земельних ділянок або землекористувачів установлення сервітутів до категорії земель, визначених Земельним кодексом України, для розгортання та експлуатації електронних комунікаційних мереж загального користування та/або інфраструктури. Встановлення сервітуту для розгортання та експлуатації електронних комунікаційних мереж та його припинення здійснюється відповідно до Земельного та Цивільного кодексів України з урахуванням особливостей, встановлених цією статтею».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lastRenderedPageBreak/>
        <w:t>Перш за все слід зазначити, що цією статтею законопроекту не передбачено особливостей щодо встановлення та припинення земельного сервітуту для розгортання та експлуатації електронних комунікаційних мереж.</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Крім того, формулювання «установлення сервітутів до категорії земель, визначених Земельним кодексом України» є некоректним, оскільки відповідно до частини першої статті 98 Земельного кодексу України право земельного сервітуту - це право власника або землекористувача земельної ділянки чи іншої заінтересованої особи на обмежене платне або безоплатне користування чужою земельною ділянкою (ділянками). Відтак, слово «законодавства» слід було б замінити словами «Лісового кодексу України», а слова «до категорії земель, визначених Земельним кодексом України» - виключити.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Законопроектом також передбачається внести зміни до Земельного кодексу України, де, зокрема, стаття 75 викладається в новій редакції із назвою «Землі електронних комунікацій», де регулюються питання надання та користування землями електронних комунікацій. Так, згідно з </w:t>
      </w:r>
      <w:proofErr w:type="spellStart"/>
      <w:r w:rsidRPr="001176C3">
        <w:rPr>
          <w:rFonts w:ascii="Times New Roman" w:eastAsia="Times New Roman" w:hAnsi="Times New Roman"/>
          <w:sz w:val="28"/>
          <w:szCs w:val="28"/>
          <w:lang w:val="uk-UA" w:eastAsia="ru-RU"/>
        </w:rPr>
        <w:t>оновлюваною</w:t>
      </w:r>
      <w:proofErr w:type="spellEnd"/>
      <w:r w:rsidRPr="001176C3">
        <w:rPr>
          <w:rFonts w:ascii="Times New Roman" w:eastAsia="Times New Roman" w:hAnsi="Times New Roman"/>
          <w:sz w:val="28"/>
          <w:szCs w:val="28"/>
          <w:lang w:val="uk-UA" w:eastAsia="ru-RU"/>
        </w:rPr>
        <w:t xml:space="preserve"> редакцією частин третьої - п’ятої статті 75 Земельного кодексу України «уздовж повітряних і підземних кабельних ліній електронних комунікаційних мереж, що проходять поза населеними пунктами, а також навколо споруд електронних комунікаційних мереж, у тому числі, базових станцій мобільного зв’язку, земних станцій супутникового зв’язку та радіорелейних ліній встановлюються охоронні зони, а вразі необхідності утворюються просіки. Розміри земельних ділянок, у тому числі охоронних зон та просік, що надаються особам, зазначеним у частині першої цієї статті, визначаються відповідно до норм відведення земель для цього виду діяльності та проектно-кошторисною документацією, затверджених у встановленому порядку. Постачальники електронних комунікаційних мереж та/або послуг, які комунікаційних мереж та/або послуг, мають відповідно до Закону України «Про електронні комунікації» внесені до державного реєстру постачальників електронних право вимагати від власників земельних ділянок або землекористувачів установлення сервітутів, у тому числі, особистих сервітутів, земель електронних комунікацій, визначених цим Кодексом, для прокладання під землею електронних комунікаційних мереж та/або усунення їх пошкоджень».</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Проте, по-перше, зміст цієї статті дещо відрізняється від положень статті 25 законопроекту. По-друге, положення частини четвертої статті 75 не узгоджується із Земельним кодексом України щодо підстав формування земельної ділянки. Відповідно до статей 79</w:t>
      </w:r>
      <w:r w:rsidRPr="001176C3">
        <w:rPr>
          <w:rFonts w:ascii="Times New Roman" w:eastAsia="Times New Roman" w:hAnsi="Times New Roman"/>
          <w:sz w:val="28"/>
          <w:szCs w:val="28"/>
          <w:vertAlign w:val="superscript"/>
          <w:lang w:val="uk-UA" w:eastAsia="ru-RU"/>
        </w:rPr>
        <w:t>1</w:t>
      </w:r>
      <w:r w:rsidRPr="001176C3">
        <w:rPr>
          <w:rFonts w:ascii="Times New Roman" w:eastAsia="Times New Roman" w:hAnsi="Times New Roman"/>
          <w:sz w:val="28"/>
          <w:szCs w:val="28"/>
          <w:lang w:val="uk-UA" w:eastAsia="ru-RU"/>
        </w:rPr>
        <w:t>, 116, 118 і 123 Земельного кодексу України відведення земельних ділянок здійснюється на підставі рішень органів виконавчої влади і органів місцевого самоврядування, а їх розміри визначаються на підставі документації із землеустрою, а не відповідно до «норм відведення земель для цього виду діяльності та проектно-кошторисною документацією, затверджених у встановленому порядку». Крім того, статтею 25 Закону України «Про землеустрій» визначено вичерпний перелік видів документації із землеустрою, яким проектно-кошторисна документація не передбачена.</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Відтак, стаття 25 законопроекту і зміни до статті 75 Земельного кодексу України потребують взаємного змістовного узгодження, а частину четверту </w:t>
      </w:r>
      <w:r w:rsidRPr="001176C3">
        <w:rPr>
          <w:rFonts w:ascii="Times New Roman" w:eastAsia="Times New Roman" w:hAnsi="Times New Roman"/>
          <w:sz w:val="28"/>
          <w:szCs w:val="28"/>
          <w:lang w:val="uk-UA" w:eastAsia="ru-RU"/>
        </w:rPr>
        <w:lastRenderedPageBreak/>
        <w:t>статті 75 Кодексу необхідно узгодити із Земельним кодексом України щодо підстав формування земельних ділянок.</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До того ж передбачене обмеження щодо набуття земельних ділянок електронних комунікацій лише фізичними особами-підприємцями є спірним, оскільки позбавляє права фізичних осіб, які не є підприємцями, отримати у власність або користування зазначені земельні ділянки. Разом з тим,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(стаття 13 Конституції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12. Підпунктом 21 пункту 3 розділу XІХ «Прикінцеві та перехідні положення» законопроекту передбачається внести зміни до Закону України «Про державні соціальні стандарти та державні соціальні гарантії», які не належать до предмета регулювання законопроекту в цілому.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Крім того, після набрання чинності цим законопроектом та внесення змін до статей 1 і 10 Закону України «Про державні соціальні стандарти та державні соціальні гарантії» права осіб, які мають пільги на користування стаціонарним телефоном, будуть обмежені, що є неприпустимим з огляду на статтю 22 Основного Закону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Пропоновані зміни до статті 21 Закону України «Про державні соціальні стандарти та державні соціальні гарантії» містять правову невизначеність, що є одним з елементів принципу верховенства права (стаття 8 Конституції України), оскільки незрозуміло, на які саме цілі мають спрямовуватися відповідні кошти.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Також зміни до статті 22 Закону України «Про державні соціальні стандарти та державні соціальні гарантії» не належать до предмета її правового регулювання.</w:t>
      </w:r>
    </w:p>
    <w:p w:rsidR="001176C3" w:rsidRPr="001176C3" w:rsidRDefault="001176C3" w:rsidP="001176C3">
      <w:pPr>
        <w:spacing w:before="120" w:after="0" w:line="240" w:lineRule="auto"/>
        <w:ind w:firstLine="567"/>
        <w:jc w:val="both"/>
        <w:rPr>
          <w:rFonts w:ascii="Times New Roman" w:eastAsia="Times New Roman" w:hAnsi="Times New Roman"/>
          <w:i/>
          <w:color w:val="000000" w:themeColor="text1"/>
          <w:sz w:val="28"/>
          <w:szCs w:val="28"/>
          <w:lang w:val="uk-UA" w:eastAsia="ru-RU"/>
        </w:rPr>
      </w:pPr>
      <w:r w:rsidRPr="001176C3">
        <w:rPr>
          <w:rFonts w:ascii="Times New Roman" w:eastAsia="Times New Roman" w:hAnsi="Times New Roman"/>
          <w:i/>
          <w:color w:val="000000" w:themeColor="text1"/>
          <w:sz w:val="28"/>
          <w:szCs w:val="28"/>
          <w:lang w:val="uk-UA" w:eastAsia="ru-RU"/>
        </w:rPr>
        <w:t xml:space="preserve">ІІІ. Невідповідність положень законопроекту вимогам </w:t>
      </w:r>
      <w:proofErr w:type="spellStart"/>
      <w:r w:rsidRPr="001176C3">
        <w:rPr>
          <w:rFonts w:ascii="Times New Roman" w:eastAsia="Times New Roman" w:hAnsi="Times New Roman"/>
          <w:i/>
          <w:color w:val="000000" w:themeColor="text1"/>
          <w:sz w:val="28"/>
          <w:szCs w:val="28"/>
          <w:lang w:val="uk-UA" w:eastAsia="ru-RU"/>
        </w:rPr>
        <w:t>нормопроектувальної</w:t>
      </w:r>
      <w:proofErr w:type="spellEnd"/>
      <w:r w:rsidRPr="001176C3">
        <w:rPr>
          <w:rFonts w:ascii="Times New Roman" w:eastAsia="Times New Roman" w:hAnsi="Times New Roman"/>
          <w:i/>
          <w:color w:val="000000" w:themeColor="text1"/>
          <w:sz w:val="28"/>
          <w:szCs w:val="28"/>
          <w:lang w:val="uk-UA" w:eastAsia="ru-RU"/>
        </w:rPr>
        <w:t xml:space="preserve"> техніки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1. Законопроектом  пропонується внести зміни до абзацу першого пункту 9 статті 2 Закону України «Про збір на обов'язкове державне пенсійне страхування», зокрема слова «вартість будь-яких послуг стільникового рухомого зв’язку» замінити словами «вартість будь-яких наданих послуг мобільного зв’язку», слово «оператору» - словом «постачальнику», а слово «аванс» - виключити (підпункт 14 пункту 3 розділу XІХ «Прикінцеві та перехідні положення»).</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Проте аналогічні зміни не вносяться до абзаців другого - четвертого, дев’ятого та одинадцятого цього ж пункту, а також до пункту 10 статті 1 цього ж Закону.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Оскільки пунктом 10 статті 1 Закону визначаються платники збору (підприємства, установи та організації, фізичні особи, які користуються послугами стільникового рухомого зв'язку, а також оператори цього зв'язку, які надають свої послуги безоплатно), а пунктом 9 статі 2 Закону - об’єкт оподаткування для таких платників, то ці положення не узгоджуються між собою, і, як наслідок, не відповідатимуть конституційним принципам </w:t>
      </w:r>
      <w:r w:rsidRPr="001176C3">
        <w:rPr>
          <w:rFonts w:ascii="Times New Roman" w:eastAsia="Times New Roman" w:hAnsi="Times New Roman"/>
          <w:sz w:val="28"/>
          <w:szCs w:val="28"/>
          <w:lang w:val="uk-UA" w:eastAsia="ru-RU"/>
        </w:rPr>
        <w:lastRenderedPageBreak/>
        <w:t>верховенства права,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2. Відповідно до пункту 1 частини другої статті 17 законопроекту реєстр постачальників електронних комунікаційних мереж та послуг має містити «дату надходження повідомлення відповідно до статі 16 цього Закону». Натомість стаття 16 Закону не передбачає такий вид відомостей. У цій статті йдеться лише про «дату подання повідомлення» чи «дату вхідної реєстрації повідомлення». Відтак, посилання на положення статті 16  цього законопроекту є неприйнятним. Це ж саме стосується посилання, що міститься у частині п’ятій статті 101 законопроекту.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3. У частинах четвертій та п’ятій статті 25 законопроекту міститься посилання на Закон України «Про доступ до об’єктів будівництва, транспорту, електроенергетики з метою розвитку електронних комунікаційних мереж». Слід зазначити, що закон із такою назвою Верховною Радою України не прийнято. Натомість питання забезпечення доступу до інфраструктури об’єктів будівництва, транспорту, електроенергетики, кабельної каналізації електрозв’язку, будинкової розподільної мережі для розташування технічних засобів телекомунікацій регулюються Законом України «Про доступ до об’єктів будівництва, транспорту, електроенергетики з метою розвитку телекомунікаційних мереж». Відтак, для вживання зміненої назви зазначеного Закону мали б бути внесені відповідні зміни до підпункту 59 пункту 3 розділу XІХ «Прикінцеві та перехідні положення» законопроекту.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4. Підпунктом 60 пункту 3 розділу XІХ «Прикінцеві та перехідні положення» законопроекту пропонується внести зміни до пункту 3 розділу «Прикінцеві та перехідні положення» Закону України «Про електронні довірчі послуги», яким вносилися зміни до законів України «Про Національний банк України», «Про електронні документи та електронний документообіг» та «Про Державну службу спеціального зв’язку та захисту інформації України» (слова «інформаційно-телекомунікаційна система» замінюються словами «інформаційно-комунікаційна система»). </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При цьому слід зазначити, що:</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змінювані слова зустрічаються лише у тексті змін до Закону України «Про Державну службу спеціального зв’язку та захисту інформації України»;</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підпунктом 47 пункту 3 розділу XІХ «Прикінцеві та перехідні положення» законопроекту зміни додатково пропонується внести до Закону України «Про Державну службу спеціального зв’язку та захисту інформації України». Вони також передбачають заміну слів «інформаційно-телекомунікаційна система» на «інформаційно-комунікаційна система».</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sz w:val="28"/>
          <w:szCs w:val="28"/>
          <w:lang w:val="uk-UA" w:eastAsia="ru-RU"/>
        </w:rPr>
        <w:t xml:space="preserve">Такий спосіб внесення змін до законодавчих актів не узгоджується з вимогами статті 90 Регламенту Верховної Ради України, відповідно до яких законопроект може передбачати внесення змін лише до тексту первинного законодавчого акта (закону, кодексу, основ законодавства тощо), а не до закону </w:t>
      </w:r>
      <w:r w:rsidRPr="001176C3">
        <w:rPr>
          <w:rFonts w:ascii="Times New Roman" w:eastAsia="Times New Roman" w:hAnsi="Times New Roman"/>
          <w:sz w:val="28"/>
          <w:szCs w:val="28"/>
          <w:lang w:val="uk-UA" w:eastAsia="ru-RU"/>
        </w:rPr>
        <w:lastRenderedPageBreak/>
        <w:t>про внесення змін до цього законодавчого акта, та є нікчемним, оскільки не спричиняє змін до тексту первинного закону.</w:t>
      </w: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p>
    <w:p w:rsidR="001176C3" w:rsidRPr="001176C3" w:rsidRDefault="001176C3" w:rsidP="001176C3">
      <w:pPr>
        <w:spacing w:before="120" w:after="0" w:line="240" w:lineRule="auto"/>
        <w:ind w:firstLine="567"/>
        <w:jc w:val="both"/>
        <w:rPr>
          <w:rFonts w:ascii="Times New Roman" w:eastAsia="Times New Roman" w:hAnsi="Times New Roman"/>
          <w:sz w:val="28"/>
          <w:szCs w:val="28"/>
          <w:lang w:val="uk-UA" w:eastAsia="ru-RU"/>
        </w:rPr>
      </w:pPr>
      <w:r w:rsidRPr="001176C3">
        <w:rPr>
          <w:rFonts w:ascii="Times New Roman" w:eastAsia="Times New Roman" w:hAnsi="Times New Roman"/>
          <w:b/>
          <w:bCs/>
          <w:sz w:val="28"/>
          <w:szCs w:val="28"/>
          <w:lang w:val="uk-UA" w:eastAsia="ru-RU"/>
        </w:rPr>
        <w:t xml:space="preserve">Узагальнений висновок: </w:t>
      </w:r>
      <w:r w:rsidRPr="001176C3">
        <w:rPr>
          <w:rFonts w:ascii="Times New Roman" w:eastAsia="Times New Roman" w:hAnsi="Times New Roman"/>
          <w:sz w:val="28"/>
          <w:szCs w:val="28"/>
          <w:lang w:val="uk-UA" w:eastAsia="ru-RU"/>
        </w:rPr>
        <w:t>З огляду на характер висловлених зауважень та необхідність суттєвого змістовного і техніко-юридичного доопрацювання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юридичного управління.</w:t>
      </w:r>
    </w:p>
    <w:p w:rsidR="001176C3" w:rsidRPr="001176C3" w:rsidRDefault="001176C3" w:rsidP="001176C3">
      <w:pPr>
        <w:spacing w:before="120" w:after="0" w:line="240" w:lineRule="auto"/>
        <w:ind w:firstLine="567"/>
        <w:jc w:val="both"/>
        <w:rPr>
          <w:rFonts w:ascii="Times New Roman" w:eastAsia="Times New Roman" w:hAnsi="Times New Roman"/>
          <w:color w:val="000000" w:themeColor="text1"/>
          <w:sz w:val="28"/>
          <w:szCs w:val="28"/>
          <w:lang w:val="uk-UA" w:eastAsia="ru-RU"/>
        </w:rPr>
      </w:pPr>
    </w:p>
    <w:p w:rsidR="001176C3" w:rsidRPr="001176C3" w:rsidRDefault="001176C3" w:rsidP="001176C3">
      <w:pPr>
        <w:spacing w:before="120" w:after="0" w:line="240" w:lineRule="auto"/>
        <w:ind w:firstLine="567"/>
        <w:jc w:val="both"/>
        <w:rPr>
          <w:rFonts w:ascii="Times New Roman" w:eastAsia="Times New Roman" w:hAnsi="Times New Roman"/>
          <w:color w:val="000000" w:themeColor="text1"/>
          <w:sz w:val="28"/>
          <w:szCs w:val="28"/>
          <w:lang w:val="uk-UA" w:eastAsia="ru-RU"/>
        </w:rPr>
      </w:pPr>
    </w:p>
    <w:p w:rsidR="001176C3" w:rsidRPr="001176C3" w:rsidRDefault="001176C3" w:rsidP="001176C3">
      <w:pPr>
        <w:spacing w:before="120" w:after="0" w:line="240" w:lineRule="auto"/>
        <w:jc w:val="both"/>
        <w:rPr>
          <w:rFonts w:ascii="Times New Roman" w:eastAsia="Times New Roman" w:hAnsi="Times New Roman"/>
          <w:b/>
          <w:bCs/>
          <w:sz w:val="28"/>
          <w:szCs w:val="28"/>
          <w:lang w:val="uk-UA" w:eastAsia="ru-RU"/>
        </w:rPr>
      </w:pPr>
      <w:r w:rsidRPr="001176C3">
        <w:rPr>
          <w:rFonts w:ascii="Times New Roman" w:eastAsia="Times New Roman" w:hAnsi="Times New Roman"/>
          <w:b/>
          <w:bCs/>
          <w:sz w:val="28"/>
          <w:szCs w:val="28"/>
          <w:lang w:val="uk-UA" w:eastAsia="ru-RU"/>
        </w:rPr>
        <w:t xml:space="preserve">Заступник Керівника                                                                                                            </w:t>
      </w:r>
    </w:p>
    <w:p w:rsidR="001176C3" w:rsidRPr="001176C3" w:rsidRDefault="001176C3" w:rsidP="001176C3">
      <w:pPr>
        <w:spacing w:before="120" w:after="0" w:line="240" w:lineRule="auto"/>
        <w:jc w:val="both"/>
        <w:rPr>
          <w:rFonts w:ascii="Times New Roman" w:eastAsia="Times New Roman" w:hAnsi="Times New Roman"/>
          <w:b/>
          <w:bCs/>
          <w:sz w:val="28"/>
          <w:szCs w:val="28"/>
          <w:lang w:val="uk-UA" w:eastAsia="ru-RU"/>
        </w:rPr>
      </w:pPr>
      <w:r w:rsidRPr="001176C3">
        <w:rPr>
          <w:rFonts w:ascii="Times New Roman" w:eastAsia="Times New Roman" w:hAnsi="Times New Roman"/>
          <w:b/>
          <w:bCs/>
          <w:sz w:val="28"/>
          <w:szCs w:val="28"/>
          <w:lang w:val="uk-UA" w:eastAsia="ru-RU"/>
        </w:rPr>
        <w:t>Головного управління                                                                      В. МІЛОВАНОВ</w:t>
      </w:r>
    </w:p>
    <w:p w:rsidR="001176C3" w:rsidRPr="001176C3" w:rsidRDefault="001176C3" w:rsidP="001176C3">
      <w:pPr>
        <w:spacing w:before="120" w:after="0" w:line="240" w:lineRule="auto"/>
        <w:jc w:val="both"/>
        <w:rPr>
          <w:rFonts w:ascii="Times New Roman" w:eastAsia="Times New Roman" w:hAnsi="Times New Roman"/>
          <w:sz w:val="28"/>
          <w:szCs w:val="28"/>
          <w:lang w:val="uk-UA" w:eastAsia="ru-RU"/>
        </w:rPr>
      </w:pPr>
    </w:p>
    <w:p w:rsidR="001176C3" w:rsidRPr="001176C3" w:rsidRDefault="001176C3" w:rsidP="001176C3">
      <w:pPr>
        <w:tabs>
          <w:tab w:val="left" w:pos="5963"/>
        </w:tabs>
        <w:spacing w:after="0" w:line="240" w:lineRule="auto"/>
        <w:jc w:val="both"/>
        <w:rPr>
          <w:rFonts w:ascii="Times New Roman" w:eastAsia="Times New Roman" w:hAnsi="Times New Roman"/>
          <w:b/>
          <w:color w:val="000000"/>
          <w:sz w:val="28"/>
          <w:szCs w:val="28"/>
          <w:lang w:val="uk-UA" w:eastAsia="ru-RU"/>
        </w:rPr>
      </w:pPr>
    </w:p>
    <w:p w:rsidR="009841D3" w:rsidRPr="00356EE0" w:rsidRDefault="009841D3" w:rsidP="009841D3">
      <w:pPr>
        <w:spacing w:after="0" w:line="240" w:lineRule="auto"/>
        <w:rPr>
          <w:rFonts w:ascii="Times New Roman" w:eastAsia="Times New Roman" w:hAnsi="Times New Roman"/>
          <w:b/>
          <w:sz w:val="28"/>
          <w:szCs w:val="28"/>
          <w:lang w:val="uk-UA" w:eastAsia="ru-RU"/>
        </w:rPr>
      </w:pPr>
    </w:p>
    <w:sectPr w:rsidR="009841D3" w:rsidRPr="00356EE0" w:rsidSect="00B51A63">
      <w:headerReference w:type="default" r:id="rId7"/>
      <w:headerReference w:type="first" r:id="rId8"/>
      <w:pgSz w:w="11906" w:h="16838"/>
      <w:pgMar w:top="851" w:right="851" w:bottom="567" w:left="1418"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A4" w:rsidRDefault="003E49A4" w:rsidP="005E306B">
      <w:pPr>
        <w:spacing w:after="0" w:line="240" w:lineRule="auto"/>
      </w:pPr>
      <w:r>
        <w:separator/>
      </w:r>
    </w:p>
  </w:endnote>
  <w:endnote w:type="continuationSeparator" w:id="0">
    <w:p w:rsidR="003E49A4" w:rsidRDefault="003E49A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A4" w:rsidRDefault="003E49A4" w:rsidP="005E306B">
      <w:pPr>
        <w:spacing w:after="0" w:line="240" w:lineRule="auto"/>
      </w:pPr>
      <w:r>
        <w:separator/>
      </w:r>
    </w:p>
  </w:footnote>
  <w:footnote w:type="continuationSeparator" w:id="0">
    <w:p w:rsidR="003E49A4" w:rsidRDefault="003E49A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7469743"/>
      <w:docPartObj>
        <w:docPartGallery w:val="Page Numbers (Top of Page)"/>
        <w:docPartUnique/>
      </w:docPartObj>
    </w:sdtPr>
    <w:sdtEndPr/>
    <w:sdtContent>
      <w:p w:rsidR="00F7312C" w:rsidRDefault="00F7312C">
        <w:pPr>
          <w:pStyle w:val="a3"/>
          <w:jc w:val="center"/>
        </w:pPr>
        <w:r>
          <w:fldChar w:fldCharType="begin"/>
        </w:r>
        <w:r>
          <w:instrText>PAGE   \* MERGEFORMAT</w:instrText>
        </w:r>
        <w:r>
          <w:fldChar w:fldCharType="separate"/>
        </w:r>
        <w:r w:rsidR="001176C3" w:rsidRPr="001176C3">
          <w:rPr>
            <w:noProof/>
            <w:lang w:val="uk-UA"/>
          </w:rPr>
          <w:t>16</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24B3"/>
    <w:rsid w:val="00042D16"/>
    <w:rsid w:val="000806D9"/>
    <w:rsid w:val="00087110"/>
    <w:rsid w:val="000B6CE8"/>
    <w:rsid w:val="000C6C03"/>
    <w:rsid w:val="000D61F6"/>
    <w:rsid w:val="000F1586"/>
    <w:rsid w:val="00102575"/>
    <w:rsid w:val="0011040F"/>
    <w:rsid w:val="001176C3"/>
    <w:rsid w:val="00141617"/>
    <w:rsid w:val="00141ED8"/>
    <w:rsid w:val="00167B77"/>
    <w:rsid w:val="00177AB0"/>
    <w:rsid w:val="00182880"/>
    <w:rsid w:val="0019108F"/>
    <w:rsid w:val="001966F0"/>
    <w:rsid w:val="001D1645"/>
    <w:rsid w:val="001D3C24"/>
    <w:rsid w:val="0021170B"/>
    <w:rsid w:val="002158CA"/>
    <w:rsid w:val="00232AA4"/>
    <w:rsid w:val="00235CD7"/>
    <w:rsid w:val="00244F96"/>
    <w:rsid w:val="00260E6C"/>
    <w:rsid w:val="0027185B"/>
    <w:rsid w:val="00281D0D"/>
    <w:rsid w:val="002A36F9"/>
    <w:rsid w:val="002A5A42"/>
    <w:rsid w:val="002A5D4C"/>
    <w:rsid w:val="002B5FC1"/>
    <w:rsid w:val="002D0561"/>
    <w:rsid w:val="002E0A18"/>
    <w:rsid w:val="002E31BF"/>
    <w:rsid w:val="002E44DA"/>
    <w:rsid w:val="00334483"/>
    <w:rsid w:val="00356EE0"/>
    <w:rsid w:val="00376C2E"/>
    <w:rsid w:val="00396154"/>
    <w:rsid w:val="003B79D1"/>
    <w:rsid w:val="003C300D"/>
    <w:rsid w:val="003D1CBA"/>
    <w:rsid w:val="003E398A"/>
    <w:rsid w:val="003E49A4"/>
    <w:rsid w:val="003E7F76"/>
    <w:rsid w:val="003F0C65"/>
    <w:rsid w:val="0043379C"/>
    <w:rsid w:val="00451750"/>
    <w:rsid w:val="00453A74"/>
    <w:rsid w:val="00453E76"/>
    <w:rsid w:val="00464162"/>
    <w:rsid w:val="004C60BD"/>
    <w:rsid w:val="004D641B"/>
    <w:rsid w:val="004E4F5C"/>
    <w:rsid w:val="004F7B8A"/>
    <w:rsid w:val="0050620F"/>
    <w:rsid w:val="00523E29"/>
    <w:rsid w:val="0052671A"/>
    <w:rsid w:val="0055005A"/>
    <w:rsid w:val="0056352F"/>
    <w:rsid w:val="00571485"/>
    <w:rsid w:val="005A4728"/>
    <w:rsid w:val="005A74EB"/>
    <w:rsid w:val="005B1DFE"/>
    <w:rsid w:val="005B71F5"/>
    <w:rsid w:val="005C688A"/>
    <w:rsid w:val="005D46D9"/>
    <w:rsid w:val="005E306B"/>
    <w:rsid w:val="005F20B5"/>
    <w:rsid w:val="00601922"/>
    <w:rsid w:val="0060470B"/>
    <w:rsid w:val="006057DF"/>
    <w:rsid w:val="00613A24"/>
    <w:rsid w:val="0062225A"/>
    <w:rsid w:val="006223C3"/>
    <w:rsid w:val="00625BDB"/>
    <w:rsid w:val="00626A3E"/>
    <w:rsid w:val="00634A7D"/>
    <w:rsid w:val="00647275"/>
    <w:rsid w:val="0066623D"/>
    <w:rsid w:val="006942FB"/>
    <w:rsid w:val="006E68EA"/>
    <w:rsid w:val="006F10E8"/>
    <w:rsid w:val="00713E93"/>
    <w:rsid w:val="00715DA1"/>
    <w:rsid w:val="0073224C"/>
    <w:rsid w:val="00765F50"/>
    <w:rsid w:val="00774F19"/>
    <w:rsid w:val="007A0EBF"/>
    <w:rsid w:val="007B6230"/>
    <w:rsid w:val="007D4E87"/>
    <w:rsid w:val="007E2C1E"/>
    <w:rsid w:val="007F5B8F"/>
    <w:rsid w:val="007F5D91"/>
    <w:rsid w:val="007F7143"/>
    <w:rsid w:val="0080545D"/>
    <w:rsid w:val="00836138"/>
    <w:rsid w:val="00851E9C"/>
    <w:rsid w:val="008B1C12"/>
    <w:rsid w:val="00911262"/>
    <w:rsid w:val="0092414B"/>
    <w:rsid w:val="00945B68"/>
    <w:rsid w:val="00956175"/>
    <w:rsid w:val="00957D31"/>
    <w:rsid w:val="009841D3"/>
    <w:rsid w:val="00987737"/>
    <w:rsid w:val="009A4F1B"/>
    <w:rsid w:val="009A720A"/>
    <w:rsid w:val="009C21E5"/>
    <w:rsid w:val="009F69C5"/>
    <w:rsid w:val="00A00059"/>
    <w:rsid w:val="00A1743A"/>
    <w:rsid w:val="00A234D2"/>
    <w:rsid w:val="00A54F1C"/>
    <w:rsid w:val="00A833C8"/>
    <w:rsid w:val="00AA2E8A"/>
    <w:rsid w:val="00AB2F21"/>
    <w:rsid w:val="00AC48C5"/>
    <w:rsid w:val="00AD7A18"/>
    <w:rsid w:val="00AD7F82"/>
    <w:rsid w:val="00AE3B1D"/>
    <w:rsid w:val="00AE7C67"/>
    <w:rsid w:val="00B1549F"/>
    <w:rsid w:val="00B51A63"/>
    <w:rsid w:val="00B62A2E"/>
    <w:rsid w:val="00B7419F"/>
    <w:rsid w:val="00B8263C"/>
    <w:rsid w:val="00BA7211"/>
    <w:rsid w:val="00BB477D"/>
    <w:rsid w:val="00BD0801"/>
    <w:rsid w:val="00BF1E95"/>
    <w:rsid w:val="00BF572D"/>
    <w:rsid w:val="00C000BC"/>
    <w:rsid w:val="00C058C7"/>
    <w:rsid w:val="00C11FB6"/>
    <w:rsid w:val="00C20DC4"/>
    <w:rsid w:val="00C27AE9"/>
    <w:rsid w:val="00C403B9"/>
    <w:rsid w:val="00C62414"/>
    <w:rsid w:val="00C65882"/>
    <w:rsid w:val="00C73188"/>
    <w:rsid w:val="00C829C8"/>
    <w:rsid w:val="00CC39A1"/>
    <w:rsid w:val="00CD4A38"/>
    <w:rsid w:val="00CE3E1B"/>
    <w:rsid w:val="00CE6A4B"/>
    <w:rsid w:val="00D120D3"/>
    <w:rsid w:val="00D15982"/>
    <w:rsid w:val="00D242C2"/>
    <w:rsid w:val="00D378C3"/>
    <w:rsid w:val="00D5158D"/>
    <w:rsid w:val="00D5437C"/>
    <w:rsid w:val="00D57E1B"/>
    <w:rsid w:val="00D9119F"/>
    <w:rsid w:val="00DC3787"/>
    <w:rsid w:val="00DD6C75"/>
    <w:rsid w:val="00DE0F39"/>
    <w:rsid w:val="00DE1BB8"/>
    <w:rsid w:val="00E00A30"/>
    <w:rsid w:val="00E03F25"/>
    <w:rsid w:val="00E0616E"/>
    <w:rsid w:val="00E069CB"/>
    <w:rsid w:val="00E50354"/>
    <w:rsid w:val="00E7260E"/>
    <w:rsid w:val="00E86620"/>
    <w:rsid w:val="00EB0E41"/>
    <w:rsid w:val="00ED3884"/>
    <w:rsid w:val="00F0023B"/>
    <w:rsid w:val="00F01A33"/>
    <w:rsid w:val="00F10BB4"/>
    <w:rsid w:val="00F44513"/>
    <w:rsid w:val="00F55423"/>
    <w:rsid w:val="00F614E8"/>
    <w:rsid w:val="00F7312C"/>
    <w:rsid w:val="00F90A3B"/>
    <w:rsid w:val="00F91DD3"/>
    <w:rsid w:val="00FC3DF4"/>
    <w:rsid w:val="00FD5816"/>
    <w:rsid w:val="00FD5A91"/>
    <w:rsid w:val="00FF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209DD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No Spacing"/>
    <w:uiPriority w:val="99"/>
    <w:qFormat/>
    <w:rsid w:val="0027185B"/>
    <w:rPr>
      <w:rFonts w:ascii="Times New Roman" w:hAnsi="Times New Roman"/>
      <w:sz w:val="28"/>
      <w:lang w:val="ru-RU"/>
    </w:rPr>
  </w:style>
  <w:style w:type="paragraph" w:styleId="ab">
    <w:name w:val="List Paragraph"/>
    <w:basedOn w:val="a"/>
    <w:uiPriority w:val="34"/>
    <w:qFormat/>
    <w:rsid w:val="007F7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451384">
      <w:bodyDiv w:val="1"/>
      <w:marLeft w:val="0"/>
      <w:marRight w:val="0"/>
      <w:marTop w:val="0"/>
      <w:marBottom w:val="0"/>
      <w:divBdr>
        <w:top w:val="none" w:sz="0" w:space="0" w:color="auto"/>
        <w:left w:val="none" w:sz="0" w:space="0" w:color="auto"/>
        <w:bottom w:val="none" w:sz="0" w:space="0" w:color="auto"/>
        <w:right w:val="none" w:sz="0" w:space="0" w:color="auto"/>
      </w:divBdr>
    </w:div>
    <w:div w:id="137175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3B58E-E055-4E23-9FBD-FEF20DF86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27906</Words>
  <Characters>15907</Characters>
  <Application>Microsoft Office Word</Application>
  <DocSecurity>0</DocSecurity>
  <Lines>132</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Тополянська Тетяна Олександрівна</cp:lastModifiedBy>
  <cp:revision>3</cp:revision>
  <cp:lastPrinted>2020-12-02T15:09:00Z</cp:lastPrinted>
  <dcterms:created xsi:type="dcterms:W3CDTF">2020-12-14T09:32:00Z</dcterms:created>
  <dcterms:modified xsi:type="dcterms:W3CDTF">2020-12-14T09:33:00Z</dcterms:modified>
</cp:coreProperties>
</file>