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5F5" w:rsidRPr="00B76AC9" w:rsidRDefault="004F0217" w:rsidP="00550CA0">
      <w:pPr>
        <w:spacing w:after="0" w:line="240" w:lineRule="auto"/>
        <w:jc w:val="center"/>
        <w:rPr>
          <w:rFonts w:ascii="Times New Roman" w:eastAsia="Times New Roman" w:hAnsi="Times New Roman" w:cs="Times New Roman"/>
          <w:b/>
          <w:sz w:val="28"/>
          <w:szCs w:val="28"/>
        </w:rPr>
      </w:pPr>
      <w:r w:rsidRPr="00B76AC9">
        <w:rPr>
          <w:rFonts w:ascii="Times New Roman" w:eastAsia="Times New Roman" w:hAnsi="Times New Roman" w:cs="Times New Roman"/>
          <w:b/>
          <w:sz w:val="28"/>
          <w:szCs w:val="28"/>
        </w:rPr>
        <w:t>ПОРІВНЯЛЬНА ТАБЛИЦЯ</w:t>
      </w:r>
    </w:p>
    <w:p w:rsidR="00B76AC9" w:rsidRPr="00B76AC9" w:rsidRDefault="00B76AC9" w:rsidP="00550CA0">
      <w:pPr>
        <w:pStyle w:val="a9"/>
        <w:ind w:firstLine="567"/>
        <w:jc w:val="center"/>
        <w:rPr>
          <w:rFonts w:cs="Times New Roman"/>
          <w:b/>
          <w:sz w:val="28"/>
          <w:szCs w:val="28"/>
        </w:rPr>
      </w:pPr>
      <w:r w:rsidRPr="00B76AC9">
        <w:rPr>
          <w:rFonts w:cs="Times New Roman"/>
          <w:b/>
          <w:sz w:val="28"/>
          <w:szCs w:val="28"/>
        </w:rPr>
        <w:t>до проекту Закону України «</w:t>
      </w:r>
      <w:r w:rsidRPr="00B76AC9">
        <w:rPr>
          <w:rFonts w:cs="Times New Roman"/>
          <w:b/>
          <w:kern w:val="0"/>
          <w:sz w:val="28"/>
          <w:szCs w:val="28"/>
        </w:rPr>
        <w:t xml:space="preserve">Про внесення змін до </w:t>
      </w:r>
      <w:r w:rsidR="0081208A">
        <w:rPr>
          <w:rFonts w:cs="Times New Roman"/>
          <w:b/>
          <w:kern w:val="0"/>
          <w:sz w:val="28"/>
          <w:szCs w:val="28"/>
        </w:rPr>
        <w:t xml:space="preserve">статті 12 </w:t>
      </w:r>
      <w:r w:rsidRPr="00B76AC9">
        <w:rPr>
          <w:rFonts w:cs="Times New Roman"/>
          <w:b/>
          <w:kern w:val="0"/>
          <w:sz w:val="28"/>
          <w:szCs w:val="28"/>
        </w:rPr>
        <w:t xml:space="preserve">Закону України «Про забезпечення прав і свобод громадян та правовий режим на тимчасово окупованій території України» </w:t>
      </w:r>
      <w:r w:rsidRPr="00B76AC9">
        <w:rPr>
          <w:rFonts w:cs="Times New Roman"/>
          <w:b/>
          <w:sz w:val="28"/>
          <w:szCs w:val="28"/>
        </w:rPr>
        <w:t xml:space="preserve">щодо </w:t>
      </w:r>
      <w:r w:rsidRPr="00B76AC9">
        <w:rPr>
          <w:rFonts w:eastAsia="Times New Roman" w:cs="Times New Roman"/>
          <w:b/>
          <w:bCs/>
          <w:kern w:val="0"/>
          <w:sz w:val="28"/>
          <w:szCs w:val="28"/>
          <w:lang w:eastAsia="ru-RU" w:bidi="ar-SA"/>
        </w:rPr>
        <w:t>встановлення альтернативної підсудності справ, учасники яких проживають на території Автономної Республіки Крим та міста Севастополя</w:t>
      </w:r>
      <w:r w:rsidRPr="00B76AC9">
        <w:rPr>
          <w:rFonts w:cs="Times New Roman"/>
          <w:b/>
          <w:sz w:val="28"/>
          <w:szCs w:val="28"/>
        </w:rPr>
        <w:t>»</w:t>
      </w:r>
    </w:p>
    <w:p w:rsidR="00B065F5" w:rsidRPr="00B76AC9" w:rsidRDefault="00B065F5" w:rsidP="00550CA0">
      <w:pPr>
        <w:spacing w:after="0" w:line="240" w:lineRule="auto"/>
        <w:rPr>
          <w:rFonts w:ascii="Times New Roman" w:hAnsi="Times New Roman" w:cs="Times New Roman"/>
          <w:sz w:val="28"/>
          <w:szCs w:val="28"/>
        </w:rPr>
      </w:pPr>
    </w:p>
    <w:tbl>
      <w:tblPr>
        <w:tblStyle w:val="a5"/>
        <w:tblW w:w="146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300"/>
        <w:gridCol w:w="7301"/>
      </w:tblGrid>
      <w:tr w:rsidR="00B876BE" w:rsidRPr="00B76AC9" w:rsidTr="00B876BE">
        <w:tc>
          <w:tcPr>
            <w:tcW w:w="7300" w:type="dxa"/>
          </w:tcPr>
          <w:p w:rsidR="0037504E" w:rsidRPr="00B76AC9" w:rsidRDefault="0037504E" w:rsidP="00550CA0">
            <w:pPr>
              <w:jc w:val="center"/>
              <w:rPr>
                <w:rFonts w:ascii="Times New Roman" w:eastAsia="Times New Roman" w:hAnsi="Times New Roman" w:cs="Times New Roman"/>
                <w:b/>
                <w:sz w:val="28"/>
                <w:szCs w:val="28"/>
              </w:rPr>
            </w:pPr>
          </w:p>
          <w:p w:rsidR="00B876BE" w:rsidRPr="00B76AC9" w:rsidRDefault="00B876BE" w:rsidP="00550CA0">
            <w:pPr>
              <w:jc w:val="center"/>
              <w:rPr>
                <w:rFonts w:ascii="Times New Roman" w:eastAsia="Times New Roman" w:hAnsi="Times New Roman" w:cs="Times New Roman"/>
                <w:b/>
                <w:sz w:val="28"/>
                <w:szCs w:val="28"/>
              </w:rPr>
            </w:pPr>
            <w:r w:rsidRPr="00B76AC9">
              <w:rPr>
                <w:rFonts w:ascii="Times New Roman" w:eastAsia="Times New Roman" w:hAnsi="Times New Roman" w:cs="Times New Roman"/>
                <w:b/>
                <w:sz w:val="28"/>
                <w:szCs w:val="28"/>
              </w:rPr>
              <w:t>Чинна редакція</w:t>
            </w:r>
          </w:p>
        </w:tc>
        <w:tc>
          <w:tcPr>
            <w:tcW w:w="7301" w:type="dxa"/>
          </w:tcPr>
          <w:p w:rsidR="00B876BE" w:rsidRPr="00B76AC9" w:rsidRDefault="00B876BE" w:rsidP="00550CA0">
            <w:pPr>
              <w:pStyle w:val="rvps6"/>
              <w:shd w:val="clear" w:color="auto" w:fill="FFFFFF"/>
              <w:spacing w:before="300" w:beforeAutospacing="0" w:after="0" w:afterAutospacing="0"/>
              <w:ind w:left="450" w:right="450"/>
              <w:jc w:val="center"/>
              <w:rPr>
                <w:rStyle w:val="rvts23"/>
                <w:b/>
                <w:bCs/>
                <w:sz w:val="28"/>
                <w:szCs w:val="28"/>
              </w:rPr>
            </w:pPr>
            <w:bookmarkStart w:id="0" w:name="n13"/>
            <w:bookmarkStart w:id="1" w:name="n102"/>
            <w:bookmarkEnd w:id="0"/>
            <w:bookmarkEnd w:id="1"/>
            <w:r w:rsidRPr="00B76AC9">
              <w:rPr>
                <w:b/>
                <w:sz w:val="28"/>
                <w:szCs w:val="28"/>
              </w:rPr>
              <w:t>Редакція із урахуванням запропонованих змін</w:t>
            </w:r>
          </w:p>
        </w:tc>
        <w:bookmarkStart w:id="2" w:name="n74"/>
        <w:bookmarkStart w:id="3" w:name="n4"/>
        <w:bookmarkStart w:id="4" w:name="n5"/>
        <w:bookmarkEnd w:id="2"/>
        <w:bookmarkEnd w:id="3"/>
        <w:bookmarkEnd w:id="4"/>
      </w:tr>
      <w:tr w:rsidR="00B76AC9" w:rsidRPr="00B76AC9" w:rsidTr="00450275">
        <w:tc>
          <w:tcPr>
            <w:tcW w:w="14601" w:type="dxa"/>
            <w:gridSpan w:val="2"/>
          </w:tcPr>
          <w:p w:rsidR="00B76AC9" w:rsidRPr="00B76AC9" w:rsidRDefault="00B76AC9" w:rsidP="00550CA0">
            <w:pPr>
              <w:pStyle w:val="rvps6"/>
              <w:shd w:val="clear" w:color="auto" w:fill="FFFFFF"/>
              <w:spacing w:before="0" w:beforeAutospacing="0" w:after="0" w:afterAutospacing="0"/>
              <w:ind w:right="-111"/>
              <w:jc w:val="center"/>
              <w:rPr>
                <w:b/>
                <w:sz w:val="28"/>
                <w:szCs w:val="28"/>
              </w:rPr>
            </w:pPr>
            <w:r w:rsidRPr="00B76AC9">
              <w:rPr>
                <w:b/>
                <w:sz w:val="28"/>
                <w:szCs w:val="28"/>
              </w:rPr>
              <w:t xml:space="preserve">Закон України </w:t>
            </w:r>
          </w:p>
          <w:p w:rsidR="00B76AC9" w:rsidRPr="00B76AC9" w:rsidRDefault="00B76AC9" w:rsidP="00550CA0">
            <w:pPr>
              <w:pStyle w:val="rvps6"/>
              <w:shd w:val="clear" w:color="auto" w:fill="FFFFFF"/>
              <w:spacing w:before="0" w:beforeAutospacing="0" w:after="0" w:afterAutospacing="0"/>
              <w:ind w:right="-111"/>
              <w:jc w:val="center"/>
              <w:rPr>
                <w:rStyle w:val="rvts23"/>
                <w:b/>
                <w:bCs/>
                <w:sz w:val="28"/>
                <w:szCs w:val="28"/>
                <w:highlight w:val="yellow"/>
              </w:rPr>
            </w:pPr>
            <w:r w:rsidRPr="00B76AC9">
              <w:rPr>
                <w:b/>
                <w:sz w:val="28"/>
                <w:szCs w:val="28"/>
              </w:rPr>
              <w:t>«Про забезпечення прав і свобод громадян та правовий режим на тимчасово окупованій території України»</w:t>
            </w:r>
          </w:p>
        </w:tc>
      </w:tr>
      <w:tr w:rsidR="00B876BE" w:rsidRPr="00B76AC9" w:rsidTr="00B876BE">
        <w:tc>
          <w:tcPr>
            <w:tcW w:w="7300" w:type="dxa"/>
          </w:tcPr>
          <w:p w:rsidR="00B76AC9" w:rsidRPr="00B76AC9" w:rsidRDefault="00B76AC9" w:rsidP="00550CA0">
            <w:pPr>
              <w:shd w:val="clear" w:color="auto" w:fill="FFFFFF"/>
              <w:ind w:firstLine="450"/>
              <w:jc w:val="both"/>
              <w:rPr>
                <w:rFonts w:ascii="Times New Roman" w:eastAsia="Times New Roman" w:hAnsi="Times New Roman" w:cs="Times New Roman"/>
                <w:color w:val="000000"/>
                <w:sz w:val="28"/>
                <w:szCs w:val="28"/>
              </w:rPr>
            </w:pPr>
            <w:r w:rsidRPr="00B76AC9">
              <w:rPr>
                <w:rFonts w:ascii="Times New Roman" w:eastAsia="Times New Roman" w:hAnsi="Times New Roman" w:cs="Times New Roman"/>
                <w:b/>
                <w:bCs/>
                <w:color w:val="000000"/>
                <w:sz w:val="28"/>
                <w:szCs w:val="28"/>
              </w:rPr>
              <w:t>Стаття 12.</w:t>
            </w:r>
            <w:r w:rsidRPr="00B76AC9">
              <w:rPr>
                <w:rFonts w:ascii="Times New Roman" w:eastAsia="Times New Roman" w:hAnsi="Times New Roman" w:cs="Times New Roman"/>
                <w:color w:val="000000"/>
                <w:sz w:val="28"/>
                <w:szCs w:val="28"/>
              </w:rPr>
              <w:t> Заходи правового реагування на тимчасово окупованій території</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bookmarkStart w:id="5" w:name="n69"/>
            <w:bookmarkEnd w:id="5"/>
            <w:r w:rsidRPr="00B76AC9">
              <w:rPr>
                <w:color w:val="000000"/>
                <w:sz w:val="28"/>
                <w:szCs w:val="28"/>
              </w:rPr>
              <w:t>1. У зв’язку з неможливістю здійснювати правосуддя судами Автономної Республіки Крим та міста Севастополя на тимчасово окупованих територіях, змінити територіальну підсудність судових справ, підсудних розташованим на території Автономної Республіки Крим та міста Севастополя судам, та забезпечити розгляд:</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bookmarkStart w:id="6" w:name="n70"/>
            <w:bookmarkEnd w:id="6"/>
            <w:r w:rsidRPr="00B76AC9">
              <w:rPr>
                <w:color w:val="000000"/>
                <w:sz w:val="28"/>
                <w:szCs w:val="28"/>
              </w:rPr>
              <w:t>цивільних справ, підсудних місцевим загальним судам, розташованим на території Автономної Республіки Крим та міста Севастополя, - місцевими загальними судами міста Києва, що визначаються Апеляційним судом міста Києва;</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bookmarkStart w:id="7" w:name="n71"/>
            <w:bookmarkEnd w:id="7"/>
            <w:r w:rsidRPr="00B76AC9">
              <w:rPr>
                <w:color w:val="000000"/>
                <w:sz w:val="28"/>
                <w:szCs w:val="28"/>
              </w:rPr>
              <w:t xml:space="preserve">адміністративних справ, підсудних місцевим загальним судам як адміністративним судам, розташованим на території Автономної Республіки Крим та міста Севастополя, - місцевими загальними судами </w:t>
            </w:r>
            <w:r w:rsidRPr="00B76AC9">
              <w:rPr>
                <w:color w:val="000000"/>
                <w:sz w:val="28"/>
                <w:szCs w:val="28"/>
              </w:rPr>
              <w:lastRenderedPageBreak/>
              <w:t>міста Києва, що визначаються Київським апеляційним адміністративним судом;</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bookmarkStart w:id="8" w:name="n72"/>
            <w:bookmarkEnd w:id="8"/>
            <w:r w:rsidRPr="00B76AC9">
              <w:rPr>
                <w:color w:val="000000"/>
                <w:sz w:val="28"/>
                <w:szCs w:val="28"/>
              </w:rPr>
              <w:t>цивільних справ, підсудних загальним апеляційним судам, розташованим на території Автономної Республіки Крим та міста Севастополя, - Апеляційним судом міста Києва;</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bookmarkStart w:id="9" w:name="n73"/>
            <w:bookmarkEnd w:id="9"/>
            <w:r w:rsidRPr="00B76AC9">
              <w:rPr>
                <w:color w:val="000000"/>
                <w:sz w:val="28"/>
                <w:szCs w:val="28"/>
              </w:rPr>
              <w:t>адміністративних справ Окружного адміністративного суду Автономної Республіки Крим - Київським окружним адміністративним судом, адміністративних справ Окружного адміністративного суду міста Севастополя - Окружним адміністративним судом міста Києва; Севастопольського апеляційного адміністративного суду - Київським апеляційним адміністративним судом;</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господарських справ Господарського суду Автономної Республіки Крим - Господарським судом Київської області, а господарських справ Господарського суду міста Севастополя - Господарським судом міста Києва, господарських справ Севастопольського апеляційного господарського суду - Київським апеляційним господарським судом;</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bookmarkStart w:id="10" w:name="n75"/>
            <w:bookmarkEnd w:id="10"/>
            <w:r w:rsidRPr="00B76AC9">
              <w:rPr>
                <w:color w:val="000000"/>
                <w:sz w:val="28"/>
                <w:szCs w:val="28"/>
              </w:rPr>
              <w:t>кримінальних проваджень, підсудних місцевим (районним, міським, районним у містах, міськрайонним судам), розташованим на території Автономної Республіки Крим та міста Севастополя, - одним з районних судів міста Києва, визначеним Апеляційним судом міста Києва;</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bookmarkStart w:id="11" w:name="n76"/>
            <w:bookmarkEnd w:id="11"/>
            <w:r w:rsidRPr="00B76AC9">
              <w:rPr>
                <w:color w:val="000000"/>
                <w:sz w:val="28"/>
                <w:szCs w:val="28"/>
              </w:rPr>
              <w:t xml:space="preserve">кримінальних проваджень, підсудних Апеляційному </w:t>
            </w:r>
            <w:r w:rsidRPr="00B76AC9">
              <w:rPr>
                <w:color w:val="000000"/>
                <w:sz w:val="28"/>
                <w:szCs w:val="28"/>
              </w:rPr>
              <w:lastRenderedPageBreak/>
              <w:t>суду Автономної Республіки Крим та Апеляційному суду міста Севастополя, - Апеляційним судом міста Києва;</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bookmarkStart w:id="12" w:name="n285"/>
            <w:bookmarkEnd w:id="12"/>
            <w:r w:rsidRPr="00B76AC9">
              <w:rPr>
                <w:color w:val="000000"/>
                <w:sz w:val="28"/>
                <w:szCs w:val="28"/>
              </w:rPr>
              <w:t>справ про адміністративні правопорушення, підсудних місцевим (районним, міським, районним у містах, міськрайонним) судам, розташованим на території Автономної Республіки Крим та міста Севастополя, - місцевими загальними судами за місцем виявлення адміністративного правопорушення.</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bookmarkStart w:id="13" w:name="n284"/>
            <w:bookmarkStart w:id="14" w:name="n77"/>
            <w:bookmarkEnd w:id="13"/>
            <w:bookmarkEnd w:id="14"/>
            <w:r w:rsidRPr="00B76AC9">
              <w:rPr>
                <w:color w:val="000000"/>
                <w:sz w:val="28"/>
                <w:szCs w:val="28"/>
              </w:rPr>
              <w:t>Питання, що відносяться до повноважень слідчого судді, у кримінальних провадженнях, що перебувають на стадії досудового розслідування і здійснюються на території Автономної Республіки Крим та</w:t>
            </w:r>
            <w:bookmarkStart w:id="15" w:name="_GoBack"/>
            <w:bookmarkEnd w:id="15"/>
            <w:r w:rsidRPr="00B76AC9">
              <w:rPr>
                <w:color w:val="000000"/>
                <w:sz w:val="28"/>
                <w:szCs w:val="28"/>
              </w:rPr>
              <w:t xml:space="preserve"> міста Севастополя, розглядаються слідчими суддями районних судів міста Києва, визначеними Апеляційним судом міста Києва.</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bookmarkStart w:id="16" w:name="n78"/>
            <w:bookmarkEnd w:id="16"/>
            <w:r w:rsidRPr="00B76AC9">
              <w:rPr>
                <w:color w:val="000000"/>
                <w:sz w:val="28"/>
                <w:szCs w:val="28"/>
              </w:rPr>
              <w:t>Справи, що перебувають у провадженні судів, розташованих на території Автономної Республіки Крим та міста Севастополя, та розгляд яких не закінчено, передаються судам відповідно до встановленої цим Законом підсудності, протягом десяти робочих днів з дня набрання ним чинності або з дня встановлення такої підсудності.</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bookmarkStart w:id="17" w:name="n79"/>
            <w:bookmarkEnd w:id="17"/>
            <w:r w:rsidRPr="00B76AC9">
              <w:rPr>
                <w:color w:val="000000"/>
                <w:sz w:val="28"/>
                <w:szCs w:val="28"/>
              </w:rPr>
              <w:t>У разі нанесення шкоди суб’єктами іноземної держави нерезидентами підсудність встановлюється за місцем нанесення шкоди з урахуванням правил підсудності, встановленої цим Законом.</w:t>
            </w:r>
          </w:p>
          <w:p w:rsidR="00B876BE" w:rsidRPr="00B76AC9" w:rsidRDefault="00B876BE" w:rsidP="00550CA0">
            <w:pPr>
              <w:ind w:firstLine="454"/>
              <w:jc w:val="both"/>
              <w:rPr>
                <w:rFonts w:ascii="Times New Roman" w:eastAsia="Times New Roman" w:hAnsi="Times New Roman" w:cs="Times New Roman"/>
                <w:sz w:val="28"/>
                <w:szCs w:val="28"/>
              </w:rPr>
            </w:pPr>
          </w:p>
        </w:tc>
        <w:tc>
          <w:tcPr>
            <w:tcW w:w="7301" w:type="dxa"/>
          </w:tcPr>
          <w:p w:rsidR="00B76AC9" w:rsidRPr="00B76AC9" w:rsidRDefault="00B76AC9" w:rsidP="00550CA0">
            <w:pPr>
              <w:shd w:val="clear" w:color="auto" w:fill="FFFFFF"/>
              <w:ind w:firstLine="450"/>
              <w:jc w:val="both"/>
              <w:rPr>
                <w:rFonts w:ascii="Times New Roman" w:eastAsia="Times New Roman" w:hAnsi="Times New Roman" w:cs="Times New Roman"/>
                <w:color w:val="000000"/>
                <w:sz w:val="28"/>
                <w:szCs w:val="28"/>
              </w:rPr>
            </w:pPr>
            <w:r w:rsidRPr="00B76AC9">
              <w:rPr>
                <w:rFonts w:ascii="Times New Roman" w:eastAsia="Times New Roman" w:hAnsi="Times New Roman" w:cs="Times New Roman"/>
                <w:b/>
                <w:bCs/>
                <w:color w:val="000000"/>
                <w:sz w:val="28"/>
                <w:szCs w:val="28"/>
              </w:rPr>
              <w:lastRenderedPageBreak/>
              <w:t>Стаття 12.</w:t>
            </w:r>
            <w:r w:rsidR="00550CA0">
              <w:rPr>
                <w:rFonts w:ascii="Times New Roman" w:eastAsia="Times New Roman" w:hAnsi="Times New Roman" w:cs="Times New Roman"/>
                <w:color w:val="000000"/>
                <w:sz w:val="28"/>
                <w:szCs w:val="28"/>
              </w:rPr>
              <w:t xml:space="preserve"> </w:t>
            </w:r>
            <w:r w:rsidRPr="00B76AC9">
              <w:rPr>
                <w:rFonts w:ascii="Times New Roman" w:eastAsia="Times New Roman" w:hAnsi="Times New Roman" w:cs="Times New Roman"/>
                <w:color w:val="000000"/>
                <w:sz w:val="28"/>
                <w:szCs w:val="28"/>
              </w:rPr>
              <w:t>Заходи правового реагування на тимчасово окупованій території</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1. У зв’язку з неможливістю здійснювати правосуддя судами Автономної Республіки Крим та міста Севастополя на тимчасово окупованих територіях, змінити територіальну підсудність судових справ, підсудних розташованим на території Автономної Республіки Крим та міста Севастополя судам, та забезпечити розгляд:</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цивільних справ, підсудних місцевим загальним судам, розташованим на території Автономної Республіки Крим та міста Севастополя, - місцевими загальними судами міста Києва, що визначаються Апеляційним судом міста Києва;</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 xml:space="preserve">адміністративних справ, підсудних місцевим загальним судам як адміністративним судам, розташованим на території Автономної Республіки Крим та міста Севастополя, - місцевими загальними судами </w:t>
            </w:r>
            <w:r w:rsidRPr="00B76AC9">
              <w:rPr>
                <w:color w:val="000000"/>
                <w:sz w:val="28"/>
                <w:szCs w:val="28"/>
              </w:rPr>
              <w:lastRenderedPageBreak/>
              <w:t>міста Києва, що визначаються Київським апеляційним адміністративним судом;</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цивільних справ, підсудних загальним апеляційним судам, розташованим на території Автономної Республіки Крим та міста Севастополя, - Апеляційним судом міста Києва;</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адміністративних справ Окружного адміністративного суду Автономної Республіки Крим - Київським окружним адміністративним судом, адміністративних справ Окружного адміністративного суду міста Севастополя - Окружним адміністративним судом міста Києва; Севастопольського апеляційного адміністративного суду - Київським апеляційним адміністративним судом;</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господарських справ Господарського суду Автономної Республіки Крим - Господарським судом Київської області, а господарських справ Господарського суду міста Севастополя - Господарським судом міста Києва, господарських справ Севастопольського апеляційного господарського суду - Київським апеляційним господарським судом;</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кримінальних проваджень, підсудних місцевим (районним, міським, районним у містах, міськрайонним судам), розташованим на території Автономної Республіки Крим та міста Севастополя, - одним з районних судів міста Києва, визначеним Апеляційним судом міста Києва;</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 xml:space="preserve">кримінальних проваджень, підсудних Апеляційному </w:t>
            </w:r>
            <w:r w:rsidRPr="00B76AC9">
              <w:rPr>
                <w:color w:val="000000"/>
                <w:sz w:val="28"/>
                <w:szCs w:val="28"/>
              </w:rPr>
              <w:lastRenderedPageBreak/>
              <w:t>суду Автономної Республіки Крим та Апеляційному суду міста Севастополя, - Апеляційним судом міста Києва;</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справ про адміністративні правопорушення, підсудних місцевим (районним, міським, районним у містах, міськрайонним) судам, розташованим на території Автономної Республіки Крим та міста Севастополя, - місцевими загальними судами за місцем виявлення адміністративного правопорушення.</w:t>
            </w:r>
          </w:p>
          <w:p w:rsidR="00B76AC9" w:rsidRPr="00F6612C" w:rsidRDefault="00B76AC9" w:rsidP="00550CA0">
            <w:pPr>
              <w:ind w:firstLine="501"/>
              <w:jc w:val="both"/>
              <w:rPr>
                <w:rStyle w:val="rvts9"/>
                <w:rFonts w:ascii="Times New Roman" w:hAnsi="Times New Roman" w:cs="Times New Roman"/>
                <w:b/>
                <w:bCs/>
                <w:color w:val="000000"/>
                <w:sz w:val="28"/>
                <w:szCs w:val="28"/>
                <w:bdr w:val="none" w:sz="0" w:space="0" w:color="auto" w:frame="1"/>
                <w:shd w:val="clear" w:color="auto" w:fill="FFFFFF"/>
              </w:rPr>
            </w:pPr>
            <w:r w:rsidRPr="00F6612C">
              <w:rPr>
                <w:rStyle w:val="rvts9"/>
                <w:rFonts w:ascii="Times New Roman" w:hAnsi="Times New Roman" w:cs="Times New Roman"/>
                <w:b/>
                <w:bCs/>
                <w:color w:val="000000"/>
                <w:sz w:val="28"/>
                <w:szCs w:val="28"/>
                <w:bdr w:val="none" w:sz="0" w:space="0" w:color="auto" w:frame="1"/>
                <w:shd w:val="clear" w:color="auto" w:fill="FFFFFF"/>
              </w:rPr>
              <w:t>За клопотанням сторони спору – фізичної особи, яка постійно проживає на тимчасово окупованій території, розгляд:</w:t>
            </w:r>
          </w:p>
          <w:p w:rsidR="00B76AC9" w:rsidRPr="00F6612C" w:rsidRDefault="00B76AC9" w:rsidP="00550CA0">
            <w:pPr>
              <w:pStyle w:val="rvps2"/>
              <w:shd w:val="clear" w:color="auto" w:fill="FFFFFF"/>
              <w:spacing w:before="0" w:beforeAutospacing="0" w:after="0" w:afterAutospacing="0"/>
              <w:ind w:firstLine="450"/>
              <w:jc w:val="both"/>
              <w:rPr>
                <w:b/>
                <w:color w:val="000000"/>
                <w:sz w:val="28"/>
                <w:szCs w:val="28"/>
              </w:rPr>
            </w:pPr>
            <w:r w:rsidRPr="00F6612C">
              <w:rPr>
                <w:b/>
                <w:color w:val="000000"/>
                <w:sz w:val="28"/>
                <w:szCs w:val="28"/>
              </w:rPr>
              <w:t xml:space="preserve">цивільних справ, підсудних місцевим загальним судам, розташованим на території Автономної Республіки Крим та міста Севастополя, - забезпечується місцевим загальним судом Херсонської області за вибором особи; </w:t>
            </w:r>
          </w:p>
          <w:p w:rsidR="00B76AC9" w:rsidRPr="00F6612C" w:rsidRDefault="00B76AC9" w:rsidP="00550CA0">
            <w:pPr>
              <w:pStyle w:val="rvps2"/>
              <w:shd w:val="clear" w:color="auto" w:fill="FFFFFF"/>
              <w:spacing w:before="0" w:beforeAutospacing="0" w:after="0" w:afterAutospacing="0"/>
              <w:ind w:firstLine="450"/>
              <w:jc w:val="both"/>
              <w:rPr>
                <w:b/>
                <w:color w:val="000000"/>
                <w:sz w:val="28"/>
                <w:szCs w:val="28"/>
              </w:rPr>
            </w:pPr>
            <w:r w:rsidRPr="00F6612C">
              <w:rPr>
                <w:b/>
                <w:color w:val="000000"/>
                <w:sz w:val="28"/>
                <w:szCs w:val="28"/>
              </w:rPr>
              <w:t>цивільних справ, підсудних загальним апеляційним судам, розташованим на території Автономної Республіки Крим та міста Севастополя, - забезпечується Херсонським апеляційним судом.</w:t>
            </w:r>
          </w:p>
          <w:p w:rsidR="00B76AC9" w:rsidRPr="00F6612C" w:rsidRDefault="00B76AC9" w:rsidP="00550CA0">
            <w:pPr>
              <w:ind w:firstLine="501"/>
              <w:jc w:val="both"/>
              <w:rPr>
                <w:rStyle w:val="rvts9"/>
                <w:rFonts w:ascii="Times New Roman" w:hAnsi="Times New Roman" w:cs="Times New Roman"/>
                <w:b/>
                <w:bCs/>
                <w:color w:val="000000"/>
                <w:sz w:val="28"/>
                <w:szCs w:val="28"/>
                <w:bdr w:val="none" w:sz="0" w:space="0" w:color="auto" w:frame="1"/>
                <w:shd w:val="clear" w:color="auto" w:fill="FFFFFF"/>
              </w:rPr>
            </w:pPr>
            <w:proofErr w:type="spellStart"/>
            <w:r w:rsidRPr="00F6612C">
              <w:rPr>
                <w:rStyle w:val="rvts9"/>
                <w:rFonts w:ascii="Times New Roman" w:hAnsi="Times New Roman" w:cs="Times New Roman"/>
                <w:b/>
                <w:bCs/>
                <w:color w:val="000000"/>
                <w:sz w:val="28"/>
                <w:szCs w:val="28"/>
                <w:bdr w:val="none" w:sz="0" w:space="0" w:color="auto" w:frame="1"/>
                <w:shd w:val="clear" w:color="auto" w:fill="FFFFFF"/>
                <w:lang w:val="ru-RU"/>
              </w:rPr>
              <w:t>Таке</w:t>
            </w:r>
            <w:proofErr w:type="spellEnd"/>
            <w:r w:rsidRPr="00F6612C">
              <w:rPr>
                <w:rStyle w:val="rvts9"/>
                <w:rFonts w:ascii="Times New Roman" w:hAnsi="Times New Roman" w:cs="Times New Roman"/>
                <w:b/>
                <w:bCs/>
                <w:color w:val="000000"/>
                <w:sz w:val="28"/>
                <w:szCs w:val="28"/>
                <w:bdr w:val="none" w:sz="0" w:space="0" w:color="auto" w:frame="1"/>
                <w:shd w:val="clear" w:color="auto" w:fill="FFFFFF"/>
              </w:rPr>
              <w:t xml:space="preserve"> клопотання може бути подане разом із позовною заявою до визначеного особою суду. У разі подання клопотання після відкриття провадження справа передається до визначеного суду у порядку, встановленому Цивільним процесуальним кодексом України. </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 xml:space="preserve">Питання, що відносяться до повноважень слідчого </w:t>
            </w:r>
            <w:r w:rsidRPr="00B76AC9">
              <w:rPr>
                <w:color w:val="000000"/>
                <w:sz w:val="28"/>
                <w:szCs w:val="28"/>
              </w:rPr>
              <w:lastRenderedPageBreak/>
              <w:t>судді, у кримінальних провадженнях, що перебувають на стадії досудового розслідування і здійснюються на території Автономної Республіки Крим та міста Севастополя, розглядаються слідчими суддями районних судів міста Києва, визначеними Апеляційним судом міста Києва.</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Справи, що перебувають у провадженні судів, розташованих на території Автономної Республіки Крим та міста Севастополя, та розгляд яких не закінчено, передаються судам відповідно до встановленої цим Законом підсудності, протягом десяти робочих днів з дня набрання ним чинності або з дня встановлення такої підсудності.</w:t>
            </w:r>
          </w:p>
          <w:p w:rsidR="00B76AC9" w:rsidRPr="00B76AC9" w:rsidRDefault="00B76AC9" w:rsidP="00550CA0">
            <w:pPr>
              <w:pStyle w:val="rvps2"/>
              <w:shd w:val="clear" w:color="auto" w:fill="FFFFFF"/>
              <w:spacing w:before="0" w:beforeAutospacing="0" w:after="0" w:afterAutospacing="0"/>
              <w:ind w:firstLine="450"/>
              <w:jc w:val="both"/>
              <w:rPr>
                <w:color w:val="000000"/>
                <w:sz w:val="28"/>
                <w:szCs w:val="28"/>
              </w:rPr>
            </w:pPr>
            <w:r w:rsidRPr="00B76AC9">
              <w:rPr>
                <w:color w:val="000000"/>
                <w:sz w:val="28"/>
                <w:szCs w:val="28"/>
              </w:rPr>
              <w:t>У разі нанесення шкоди суб’єктами іноземної держави нерезидентами підсудність встановлюється за місцем нанесення шкоди з урахуванням правил підсудності, встановленої цим Законом.</w:t>
            </w:r>
          </w:p>
          <w:p w:rsidR="00B876BE" w:rsidRPr="00B76AC9" w:rsidRDefault="00B876BE" w:rsidP="00550CA0">
            <w:pPr>
              <w:ind w:firstLine="421"/>
              <w:jc w:val="both"/>
              <w:rPr>
                <w:rFonts w:ascii="Times New Roman" w:eastAsia="Times New Roman" w:hAnsi="Times New Roman" w:cs="Times New Roman"/>
                <w:sz w:val="28"/>
                <w:szCs w:val="28"/>
              </w:rPr>
            </w:pPr>
          </w:p>
        </w:tc>
      </w:tr>
    </w:tbl>
    <w:p w:rsidR="00550CA0" w:rsidRDefault="00550CA0" w:rsidP="00550CA0">
      <w:pPr>
        <w:spacing w:after="0" w:line="240" w:lineRule="auto"/>
        <w:rPr>
          <w:rFonts w:ascii="Times New Roman" w:hAnsi="Times New Roman" w:cs="Times New Roman"/>
          <w:b/>
          <w:sz w:val="28"/>
          <w:szCs w:val="28"/>
        </w:rPr>
      </w:pPr>
    </w:p>
    <w:p w:rsidR="00550CA0" w:rsidRDefault="00550CA0" w:rsidP="00550CA0">
      <w:pPr>
        <w:spacing w:after="0" w:line="240" w:lineRule="auto"/>
        <w:rPr>
          <w:rFonts w:ascii="Times New Roman" w:hAnsi="Times New Roman" w:cs="Times New Roman"/>
          <w:b/>
          <w:sz w:val="28"/>
          <w:szCs w:val="28"/>
        </w:rPr>
      </w:pPr>
    </w:p>
    <w:p w:rsidR="00550CA0" w:rsidRDefault="00550CA0" w:rsidP="00550CA0">
      <w:pPr>
        <w:spacing w:after="0" w:line="240" w:lineRule="auto"/>
        <w:rPr>
          <w:rFonts w:ascii="Times New Roman" w:hAnsi="Times New Roman" w:cs="Times New Roman"/>
          <w:b/>
          <w:sz w:val="28"/>
          <w:szCs w:val="28"/>
        </w:rPr>
      </w:pPr>
    </w:p>
    <w:p w:rsidR="00B065F5" w:rsidRDefault="0037504E" w:rsidP="00550CA0">
      <w:pPr>
        <w:spacing w:after="0" w:line="240" w:lineRule="auto"/>
        <w:rPr>
          <w:rFonts w:ascii="Times New Roman" w:hAnsi="Times New Roman" w:cs="Times New Roman"/>
          <w:b/>
          <w:sz w:val="28"/>
          <w:szCs w:val="28"/>
        </w:rPr>
      </w:pPr>
      <w:r w:rsidRPr="00B76AC9">
        <w:rPr>
          <w:rFonts w:ascii="Times New Roman" w:hAnsi="Times New Roman" w:cs="Times New Roman"/>
          <w:b/>
          <w:sz w:val="28"/>
          <w:szCs w:val="28"/>
        </w:rPr>
        <w:t>Народн</w:t>
      </w:r>
      <w:r w:rsidR="005676FD">
        <w:rPr>
          <w:rFonts w:ascii="Times New Roman" w:hAnsi="Times New Roman" w:cs="Times New Roman"/>
          <w:b/>
          <w:sz w:val="28"/>
          <w:szCs w:val="28"/>
        </w:rPr>
        <w:t>і</w:t>
      </w:r>
      <w:r w:rsidRPr="00B76AC9">
        <w:rPr>
          <w:rFonts w:ascii="Times New Roman" w:hAnsi="Times New Roman" w:cs="Times New Roman"/>
          <w:b/>
          <w:sz w:val="28"/>
          <w:szCs w:val="28"/>
        </w:rPr>
        <w:t xml:space="preserve"> депутат</w:t>
      </w:r>
      <w:r w:rsidR="005676FD">
        <w:rPr>
          <w:rFonts w:ascii="Times New Roman" w:hAnsi="Times New Roman" w:cs="Times New Roman"/>
          <w:b/>
          <w:sz w:val="28"/>
          <w:szCs w:val="28"/>
        </w:rPr>
        <w:t>и</w:t>
      </w:r>
      <w:r w:rsidRPr="00B76AC9">
        <w:rPr>
          <w:rFonts w:ascii="Times New Roman" w:hAnsi="Times New Roman" w:cs="Times New Roman"/>
          <w:b/>
          <w:sz w:val="28"/>
          <w:szCs w:val="28"/>
        </w:rPr>
        <w:t xml:space="preserve"> України</w:t>
      </w:r>
      <w:r w:rsidRPr="00B76AC9">
        <w:rPr>
          <w:rFonts w:ascii="Times New Roman" w:hAnsi="Times New Roman" w:cs="Times New Roman"/>
          <w:b/>
          <w:sz w:val="28"/>
          <w:szCs w:val="28"/>
        </w:rPr>
        <w:tab/>
      </w:r>
      <w:r w:rsidRPr="00B76AC9">
        <w:rPr>
          <w:rFonts w:ascii="Times New Roman" w:hAnsi="Times New Roman" w:cs="Times New Roman"/>
          <w:b/>
          <w:sz w:val="28"/>
          <w:szCs w:val="28"/>
        </w:rPr>
        <w:tab/>
      </w:r>
      <w:r w:rsidRPr="00B76AC9">
        <w:rPr>
          <w:rFonts w:ascii="Times New Roman" w:hAnsi="Times New Roman" w:cs="Times New Roman"/>
          <w:b/>
          <w:sz w:val="28"/>
          <w:szCs w:val="28"/>
        </w:rPr>
        <w:tab/>
      </w:r>
      <w:r w:rsidRPr="00B76AC9">
        <w:rPr>
          <w:rFonts w:ascii="Times New Roman" w:hAnsi="Times New Roman" w:cs="Times New Roman"/>
          <w:b/>
          <w:sz w:val="28"/>
          <w:szCs w:val="28"/>
        </w:rPr>
        <w:tab/>
      </w:r>
      <w:r w:rsidRPr="00B76AC9">
        <w:rPr>
          <w:rFonts w:ascii="Times New Roman" w:hAnsi="Times New Roman" w:cs="Times New Roman"/>
          <w:b/>
          <w:sz w:val="28"/>
          <w:szCs w:val="28"/>
        </w:rPr>
        <w:tab/>
      </w:r>
      <w:r w:rsidRPr="00B76AC9">
        <w:rPr>
          <w:rFonts w:ascii="Times New Roman" w:hAnsi="Times New Roman" w:cs="Times New Roman"/>
          <w:b/>
          <w:sz w:val="28"/>
          <w:szCs w:val="28"/>
        </w:rPr>
        <w:tab/>
      </w:r>
      <w:r w:rsidRPr="00B76AC9">
        <w:rPr>
          <w:rFonts w:ascii="Times New Roman" w:hAnsi="Times New Roman" w:cs="Times New Roman"/>
          <w:b/>
          <w:sz w:val="28"/>
          <w:szCs w:val="28"/>
        </w:rPr>
        <w:tab/>
      </w:r>
      <w:r w:rsidRPr="00B76AC9">
        <w:rPr>
          <w:rFonts w:ascii="Times New Roman" w:hAnsi="Times New Roman" w:cs="Times New Roman"/>
          <w:b/>
          <w:sz w:val="28"/>
          <w:szCs w:val="28"/>
        </w:rPr>
        <w:tab/>
      </w:r>
      <w:r w:rsidRPr="00B76AC9">
        <w:rPr>
          <w:rFonts w:ascii="Times New Roman" w:hAnsi="Times New Roman" w:cs="Times New Roman"/>
          <w:b/>
          <w:sz w:val="28"/>
          <w:szCs w:val="28"/>
        </w:rPr>
        <w:tab/>
      </w:r>
      <w:r w:rsidRPr="00B76AC9">
        <w:rPr>
          <w:rFonts w:ascii="Times New Roman" w:hAnsi="Times New Roman" w:cs="Times New Roman"/>
          <w:b/>
          <w:sz w:val="28"/>
          <w:szCs w:val="28"/>
        </w:rPr>
        <w:tab/>
      </w:r>
      <w:r w:rsidRPr="00B76AC9">
        <w:rPr>
          <w:rFonts w:ascii="Times New Roman" w:hAnsi="Times New Roman" w:cs="Times New Roman"/>
          <w:b/>
          <w:sz w:val="28"/>
          <w:szCs w:val="28"/>
        </w:rPr>
        <w:tab/>
      </w:r>
      <w:r w:rsidRPr="00B76AC9">
        <w:rPr>
          <w:rFonts w:ascii="Times New Roman" w:hAnsi="Times New Roman" w:cs="Times New Roman"/>
          <w:b/>
          <w:sz w:val="28"/>
          <w:szCs w:val="28"/>
        </w:rPr>
        <w:tab/>
        <w:t>Р.О. Горбенко</w:t>
      </w:r>
    </w:p>
    <w:p w:rsidR="005676FD" w:rsidRDefault="005676FD" w:rsidP="00550CA0">
      <w:pPr>
        <w:spacing w:after="0" w:line="240" w:lineRule="auto"/>
        <w:rPr>
          <w:rFonts w:ascii="Times New Roman" w:hAnsi="Times New Roman" w:cs="Times New Roman"/>
          <w:b/>
          <w:sz w:val="28"/>
          <w:szCs w:val="28"/>
        </w:rPr>
      </w:pPr>
    </w:p>
    <w:p w:rsidR="005676FD" w:rsidRPr="00B76AC9" w:rsidRDefault="005676FD" w:rsidP="00550CA0">
      <w:pPr>
        <w:spacing w:after="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Т.П. Тарасенко</w:t>
      </w:r>
    </w:p>
    <w:sectPr w:rsidR="005676FD" w:rsidRPr="00B76AC9" w:rsidSect="0014043C">
      <w:headerReference w:type="default" r:id="rId8"/>
      <w:pgSz w:w="16838" w:h="11906" w:orient="landscape"/>
      <w:pgMar w:top="1440" w:right="1440" w:bottom="1440" w:left="1440" w:header="708" w:footer="708"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A84" w:rsidRDefault="00AD4A84" w:rsidP="0014043C">
      <w:pPr>
        <w:spacing w:after="0" w:line="240" w:lineRule="auto"/>
      </w:pPr>
      <w:r>
        <w:separator/>
      </w:r>
    </w:p>
  </w:endnote>
  <w:endnote w:type="continuationSeparator" w:id="0">
    <w:p w:rsidR="00AD4A84" w:rsidRDefault="00AD4A84" w:rsidP="00140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altName w:val="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A84" w:rsidRDefault="00AD4A84" w:rsidP="0014043C">
      <w:pPr>
        <w:spacing w:after="0" w:line="240" w:lineRule="auto"/>
      </w:pPr>
      <w:r>
        <w:separator/>
      </w:r>
    </w:p>
  </w:footnote>
  <w:footnote w:type="continuationSeparator" w:id="0">
    <w:p w:rsidR="00AD4A84" w:rsidRDefault="00AD4A84" w:rsidP="001404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1857247"/>
      <w:docPartObj>
        <w:docPartGallery w:val="Page Numbers (Top of Page)"/>
        <w:docPartUnique/>
      </w:docPartObj>
    </w:sdtPr>
    <w:sdtContent>
      <w:p w:rsidR="0014043C" w:rsidRDefault="0014043C">
        <w:pPr>
          <w:pStyle w:val="aa"/>
          <w:jc w:val="center"/>
        </w:pPr>
        <w:r>
          <w:fldChar w:fldCharType="begin"/>
        </w:r>
        <w:r>
          <w:instrText>PAGE   \* MERGEFORMAT</w:instrText>
        </w:r>
        <w:r>
          <w:fldChar w:fldCharType="separate"/>
        </w:r>
        <w:r>
          <w:rPr>
            <w:noProof/>
          </w:rPr>
          <w:t>2</w:t>
        </w:r>
        <w:r>
          <w:fldChar w:fldCharType="end"/>
        </w:r>
      </w:p>
    </w:sdtContent>
  </w:sdt>
  <w:p w:rsidR="0014043C" w:rsidRDefault="0014043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05F77"/>
    <w:multiLevelType w:val="hybridMultilevel"/>
    <w:tmpl w:val="BAF6149C"/>
    <w:lvl w:ilvl="0" w:tplc="70FCE56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 w15:restartNumberingAfterBreak="0">
    <w:nsid w:val="216027CB"/>
    <w:multiLevelType w:val="hybridMultilevel"/>
    <w:tmpl w:val="43B03550"/>
    <w:lvl w:ilvl="0" w:tplc="20AA74A4">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38AB2611"/>
    <w:multiLevelType w:val="hybridMultilevel"/>
    <w:tmpl w:val="886629AA"/>
    <w:lvl w:ilvl="0" w:tplc="391660B6">
      <w:start w:val="1"/>
      <w:numFmt w:val="decimal"/>
      <w:lvlText w:val="%1."/>
      <w:lvlJc w:val="left"/>
      <w:pPr>
        <w:ind w:left="2912" w:hanging="360"/>
      </w:pPr>
      <w:rPr>
        <w:rFonts w:cs="Times New Roman"/>
      </w:rPr>
    </w:lvl>
    <w:lvl w:ilvl="1" w:tplc="04190019">
      <w:start w:val="1"/>
      <w:numFmt w:val="lowerLetter"/>
      <w:lvlText w:val="%2."/>
      <w:lvlJc w:val="left"/>
      <w:pPr>
        <w:ind w:left="3632" w:hanging="360"/>
      </w:pPr>
      <w:rPr>
        <w:rFonts w:cs="Times New Roman"/>
      </w:rPr>
    </w:lvl>
    <w:lvl w:ilvl="2" w:tplc="0419001B">
      <w:start w:val="1"/>
      <w:numFmt w:val="lowerRoman"/>
      <w:lvlText w:val="%3."/>
      <w:lvlJc w:val="right"/>
      <w:pPr>
        <w:ind w:left="4352" w:hanging="180"/>
      </w:pPr>
      <w:rPr>
        <w:rFonts w:cs="Times New Roman"/>
      </w:rPr>
    </w:lvl>
    <w:lvl w:ilvl="3" w:tplc="0419000F">
      <w:start w:val="1"/>
      <w:numFmt w:val="decimal"/>
      <w:lvlText w:val="%4."/>
      <w:lvlJc w:val="left"/>
      <w:pPr>
        <w:ind w:left="5072" w:hanging="360"/>
      </w:pPr>
      <w:rPr>
        <w:rFonts w:cs="Times New Roman"/>
      </w:rPr>
    </w:lvl>
    <w:lvl w:ilvl="4" w:tplc="04190019">
      <w:start w:val="1"/>
      <w:numFmt w:val="lowerLetter"/>
      <w:lvlText w:val="%5."/>
      <w:lvlJc w:val="left"/>
      <w:pPr>
        <w:ind w:left="5792" w:hanging="360"/>
      </w:pPr>
      <w:rPr>
        <w:rFonts w:cs="Times New Roman"/>
      </w:rPr>
    </w:lvl>
    <w:lvl w:ilvl="5" w:tplc="0419001B">
      <w:start w:val="1"/>
      <w:numFmt w:val="lowerRoman"/>
      <w:lvlText w:val="%6."/>
      <w:lvlJc w:val="right"/>
      <w:pPr>
        <w:ind w:left="6512" w:hanging="180"/>
      </w:pPr>
      <w:rPr>
        <w:rFonts w:cs="Times New Roman"/>
      </w:rPr>
    </w:lvl>
    <w:lvl w:ilvl="6" w:tplc="0419000F">
      <w:start w:val="1"/>
      <w:numFmt w:val="decimal"/>
      <w:lvlText w:val="%7."/>
      <w:lvlJc w:val="left"/>
      <w:pPr>
        <w:ind w:left="7232" w:hanging="360"/>
      </w:pPr>
      <w:rPr>
        <w:rFonts w:cs="Times New Roman"/>
      </w:rPr>
    </w:lvl>
    <w:lvl w:ilvl="7" w:tplc="04190019">
      <w:start w:val="1"/>
      <w:numFmt w:val="lowerLetter"/>
      <w:lvlText w:val="%8."/>
      <w:lvlJc w:val="left"/>
      <w:pPr>
        <w:ind w:left="7952" w:hanging="360"/>
      </w:pPr>
      <w:rPr>
        <w:rFonts w:cs="Times New Roman"/>
      </w:rPr>
    </w:lvl>
    <w:lvl w:ilvl="8" w:tplc="0419001B">
      <w:start w:val="1"/>
      <w:numFmt w:val="lowerRoman"/>
      <w:lvlText w:val="%9."/>
      <w:lvlJc w:val="right"/>
      <w:pPr>
        <w:ind w:left="8672" w:hanging="180"/>
      </w:pPr>
      <w:rPr>
        <w:rFonts w:cs="Times New Roman"/>
      </w:rPr>
    </w:lvl>
  </w:abstractNum>
  <w:abstractNum w:abstractNumId="3" w15:restartNumberingAfterBreak="0">
    <w:nsid w:val="5DF37B2C"/>
    <w:multiLevelType w:val="hybridMultilevel"/>
    <w:tmpl w:val="367C7E2C"/>
    <w:lvl w:ilvl="0" w:tplc="21C8658C">
      <w:start w:val="1"/>
      <w:numFmt w:val="decimal"/>
      <w:lvlText w:val="%1."/>
      <w:lvlJc w:val="left"/>
      <w:pPr>
        <w:ind w:left="781" w:hanging="360"/>
      </w:pPr>
      <w:rPr>
        <w:rFonts w:hint="default"/>
      </w:rPr>
    </w:lvl>
    <w:lvl w:ilvl="1" w:tplc="04220019" w:tentative="1">
      <w:start w:val="1"/>
      <w:numFmt w:val="lowerLetter"/>
      <w:lvlText w:val="%2."/>
      <w:lvlJc w:val="left"/>
      <w:pPr>
        <w:ind w:left="1501" w:hanging="360"/>
      </w:pPr>
    </w:lvl>
    <w:lvl w:ilvl="2" w:tplc="0422001B" w:tentative="1">
      <w:start w:val="1"/>
      <w:numFmt w:val="lowerRoman"/>
      <w:lvlText w:val="%3."/>
      <w:lvlJc w:val="right"/>
      <w:pPr>
        <w:ind w:left="2221" w:hanging="180"/>
      </w:pPr>
    </w:lvl>
    <w:lvl w:ilvl="3" w:tplc="0422000F" w:tentative="1">
      <w:start w:val="1"/>
      <w:numFmt w:val="decimal"/>
      <w:lvlText w:val="%4."/>
      <w:lvlJc w:val="left"/>
      <w:pPr>
        <w:ind w:left="2941" w:hanging="360"/>
      </w:pPr>
    </w:lvl>
    <w:lvl w:ilvl="4" w:tplc="04220019" w:tentative="1">
      <w:start w:val="1"/>
      <w:numFmt w:val="lowerLetter"/>
      <w:lvlText w:val="%5."/>
      <w:lvlJc w:val="left"/>
      <w:pPr>
        <w:ind w:left="3661" w:hanging="360"/>
      </w:pPr>
    </w:lvl>
    <w:lvl w:ilvl="5" w:tplc="0422001B" w:tentative="1">
      <w:start w:val="1"/>
      <w:numFmt w:val="lowerRoman"/>
      <w:lvlText w:val="%6."/>
      <w:lvlJc w:val="right"/>
      <w:pPr>
        <w:ind w:left="4381" w:hanging="180"/>
      </w:pPr>
    </w:lvl>
    <w:lvl w:ilvl="6" w:tplc="0422000F" w:tentative="1">
      <w:start w:val="1"/>
      <w:numFmt w:val="decimal"/>
      <w:lvlText w:val="%7."/>
      <w:lvlJc w:val="left"/>
      <w:pPr>
        <w:ind w:left="5101" w:hanging="360"/>
      </w:pPr>
    </w:lvl>
    <w:lvl w:ilvl="7" w:tplc="04220019" w:tentative="1">
      <w:start w:val="1"/>
      <w:numFmt w:val="lowerLetter"/>
      <w:lvlText w:val="%8."/>
      <w:lvlJc w:val="left"/>
      <w:pPr>
        <w:ind w:left="5821" w:hanging="360"/>
      </w:pPr>
    </w:lvl>
    <w:lvl w:ilvl="8" w:tplc="0422001B" w:tentative="1">
      <w:start w:val="1"/>
      <w:numFmt w:val="lowerRoman"/>
      <w:lvlText w:val="%9."/>
      <w:lvlJc w:val="right"/>
      <w:pPr>
        <w:ind w:left="6541"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065F5"/>
    <w:rsid w:val="00014502"/>
    <w:rsid w:val="0007076C"/>
    <w:rsid w:val="00100C68"/>
    <w:rsid w:val="00132069"/>
    <w:rsid w:val="0014043C"/>
    <w:rsid w:val="00144F50"/>
    <w:rsid w:val="00155DAA"/>
    <w:rsid w:val="001A5CC1"/>
    <w:rsid w:val="001B0BE2"/>
    <w:rsid w:val="001B7F47"/>
    <w:rsid w:val="00215752"/>
    <w:rsid w:val="00246EB2"/>
    <w:rsid w:val="00255898"/>
    <w:rsid w:val="00272C3E"/>
    <w:rsid w:val="00293957"/>
    <w:rsid w:val="002C56B0"/>
    <w:rsid w:val="002D790A"/>
    <w:rsid w:val="002E748B"/>
    <w:rsid w:val="00352F4C"/>
    <w:rsid w:val="00364BF0"/>
    <w:rsid w:val="0037504E"/>
    <w:rsid w:val="00394DAD"/>
    <w:rsid w:val="00397205"/>
    <w:rsid w:val="003A7C36"/>
    <w:rsid w:val="003B39D3"/>
    <w:rsid w:val="003B73B9"/>
    <w:rsid w:val="003F143C"/>
    <w:rsid w:val="004A4102"/>
    <w:rsid w:val="004D1AC4"/>
    <w:rsid w:val="004F0217"/>
    <w:rsid w:val="00505A51"/>
    <w:rsid w:val="0054054F"/>
    <w:rsid w:val="00550CA0"/>
    <w:rsid w:val="005676FD"/>
    <w:rsid w:val="0058582F"/>
    <w:rsid w:val="005A265A"/>
    <w:rsid w:val="005D07CC"/>
    <w:rsid w:val="005E36EE"/>
    <w:rsid w:val="00605C5E"/>
    <w:rsid w:val="006127B8"/>
    <w:rsid w:val="00616E7E"/>
    <w:rsid w:val="00635317"/>
    <w:rsid w:val="00652F51"/>
    <w:rsid w:val="00682104"/>
    <w:rsid w:val="00683246"/>
    <w:rsid w:val="006D4A58"/>
    <w:rsid w:val="007040FA"/>
    <w:rsid w:val="00730B2A"/>
    <w:rsid w:val="007404C6"/>
    <w:rsid w:val="00745306"/>
    <w:rsid w:val="007F6FEF"/>
    <w:rsid w:val="0081208A"/>
    <w:rsid w:val="00817C20"/>
    <w:rsid w:val="00847CA1"/>
    <w:rsid w:val="008558DA"/>
    <w:rsid w:val="008646C8"/>
    <w:rsid w:val="0087587A"/>
    <w:rsid w:val="008A7DBC"/>
    <w:rsid w:val="008C7D34"/>
    <w:rsid w:val="008D13B0"/>
    <w:rsid w:val="008F3E3E"/>
    <w:rsid w:val="00911857"/>
    <w:rsid w:val="0095061F"/>
    <w:rsid w:val="00987547"/>
    <w:rsid w:val="009E4667"/>
    <w:rsid w:val="009F3B95"/>
    <w:rsid w:val="00A17A5B"/>
    <w:rsid w:val="00A40180"/>
    <w:rsid w:val="00A43D34"/>
    <w:rsid w:val="00A53996"/>
    <w:rsid w:val="00A82FDB"/>
    <w:rsid w:val="00A97EB6"/>
    <w:rsid w:val="00AD1AD9"/>
    <w:rsid w:val="00AD4A84"/>
    <w:rsid w:val="00AE639A"/>
    <w:rsid w:val="00AF220F"/>
    <w:rsid w:val="00B065F5"/>
    <w:rsid w:val="00B76AC9"/>
    <w:rsid w:val="00B862F0"/>
    <w:rsid w:val="00B876BE"/>
    <w:rsid w:val="00BC5449"/>
    <w:rsid w:val="00C44B7D"/>
    <w:rsid w:val="00C46E06"/>
    <w:rsid w:val="00C73C0A"/>
    <w:rsid w:val="00C80807"/>
    <w:rsid w:val="00C81FE7"/>
    <w:rsid w:val="00C83D4E"/>
    <w:rsid w:val="00C94A58"/>
    <w:rsid w:val="00CB52A7"/>
    <w:rsid w:val="00CD055C"/>
    <w:rsid w:val="00CD3FAA"/>
    <w:rsid w:val="00D16E43"/>
    <w:rsid w:val="00D20A66"/>
    <w:rsid w:val="00DC3F35"/>
    <w:rsid w:val="00E049AE"/>
    <w:rsid w:val="00E05468"/>
    <w:rsid w:val="00E060F5"/>
    <w:rsid w:val="00E12561"/>
    <w:rsid w:val="00E33311"/>
    <w:rsid w:val="00E4635E"/>
    <w:rsid w:val="00ED7321"/>
    <w:rsid w:val="00F12B4A"/>
    <w:rsid w:val="00F32328"/>
    <w:rsid w:val="00F43D80"/>
    <w:rsid w:val="00F43F8D"/>
    <w:rsid w:val="00F47140"/>
    <w:rsid w:val="00F648C8"/>
    <w:rsid w:val="00F65A16"/>
    <w:rsid w:val="00F6612C"/>
    <w:rsid w:val="00FD6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0DEC91-1041-431D-9533-0FD374082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D7321"/>
  </w:style>
  <w:style w:type="paragraph" w:styleId="1">
    <w:name w:val="heading 1"/>
    <w:basedOn w:val="a"/>
    <w:next w:val="a"/>
    <w:rsid w:val="00ED7321"/>
    <w:pPr>
      <w:keepNext/>
      <w:keepLines/>
      <w:spacing w:before="480" w:after="120"/>
      <w:outlineLvl w:val="0"/>
    </w:pPr>
    <w:rPr>
      <w:b/>
      <w:sz w:val="48"/>
      <w:szCs w:val="48"/>
    </w:rPr>
  </w:style>
  <w:style w:type="paragraph" w:styleId="2">
    <w:name w:val="heading 2"/>
    <w:basedOn w:val="a"/>
    <w:next w:val="a"/>
    <w:rsid w:val="00ED7321"/>
    <w:pPr>
      <w:keepNext/>
      <w:keepLines/>
      <w:spacing w:before="360" w:after="80"/>
      <w:outlineLvl w:val="1"/>
    </w:pPr>
    <w:rPr>
      <w:b/>
      <w:sz w:val="36"/>
      <w:szCs w:val="36"/>
    </w:rPr>
  </w:style>
  <w:style w:type="paragraph" w:styleId="3">
    <w:name w:val="heading 3"/>
    <w:basedOn w:val="a"/>
    <w:next w:val="a"/>
    <w:rsid w:val="00ED7321"/>
    <w:pPr>
      <w:keepNext/>
      <w:keepLines/>
      <w:spacing w:before="280" w:after="80"/>
      <w:outlineLvl w:val="2"/>
    </w:pPr>
    <w:rPr>
      <w:b/>
      <w:sz w:val="28"/>
      <w:szCs w:val="28"/>
    </w:rPr>
  </w:style>
  <w:style w:type="paragraph" w:styleId="4">
    <w:name w:val="heading 4"/>
    <w:basedOn w:val="a"/>
    <w:next w:val="a"/>
    <w:rsid w:val="00ED7321"/>
    <w:pPr>
      <w:keepNext/>
      <w:keepLines/>
      <w:spacing w:before="240" w:after="40"/>
      <w:outlineLvl w:val="3"/>
    </w:pPr>
    <w:rPr>
      <w:b/>
      <w:sz w:val="24"/>
      <w:szCs w:val="24"/>
    </w:rPr>
  </w:style>
  <w:style w:type="paragraph" w:styleId="5">
    <w:name w:val="heading 5"/>
    <w:basedOn w:val="a"/>
    <w:next w:val="a"/>
    <w:rsid w:val="00ED7321"/>
    <w:pPr>
      <w:keepNext/>
      <w:keepLines/>
      <w:spacing w:before="220" w:after="40"/>
      <w:outlineLvl w:val="4"/>
    </w:pPr>
    <w:rPr>
      <w:b/>
    </w:rPr>
  </w:style>
  <w:style w:type="paragraph" w:styleId="6">
    <w:name w:val="heading 6"/>
    <w:basedOn w:val="a"/>
    <w:next w:val="a"/>
    <w:rsid w:val="00ED7321"/>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ED7321"/>
    <w:tblPr>
      <w:tblCellMar>
        <w:top w:w="0" w:type="dxa"/>
        <w:left w:w="0" w:type="dxa"/>
        <w:bottom w:w="0" w:type="dxa"/>
        <w:right w:w="0" w:type="dxa"/>
      </w:tblCellMar>
    </w:tblPr>
  </w:style>
  <w:style w:type="paragraph" w:styleId="a3">
    <w:name w:val="Title"/>
    <w:basedOn w:val="a"/>
    <w:next w:val="a"/>
    <w:rsid w:val="00ED7321"/>
    <w:pPr>
      <w:keepNext/>
      <w:keepLines/>
      <w:spacing w:before="480" w:after="120"/>
    </w:pPr>
    <w:rPr>
      <w:b/>
      <w:sz w:val="72"/>
      <w:szCs w:val="72"/>
    </w:rPr>
  </w:style>
  <w:style w:type="paragraph" w:styleId="a4">
    <w:name w:val="Subtitle"/>
    <w:basedOn w:val="a"/>
    <w:next w:val="a"/>
    <w:rsid w:val="00ED7321"/>
    <w:pPr>
      <w:keepNext/>
      <w:keepLines/>
      <w:spacing w:before="360" w:after="80"/>
    </w:pPr>
    <w:rPr>
      <w:rFonts w:ascii="Georgia" w:eastAsia="Georgia" w:hAnsi="Georgia" w:cs="Georgia"/>
      <w:i/>
      <w:color w:val="666666"/>
      <w:sz w:val="48"/>
      <w:szCs w:val="48"/>
    </w:rPr>
  </w:style>
  <w:style w:type="table" w:customStyle="1" w:styleId="a5">
    <w:basedOn w:val="TableNormal"/>
    <w:rsid w:val="00ED7321"/>
    <w:pPr>
      <w:spacing w:after="0" w:line="240" w:lineRule="auto"/>
    </w:pPr>
    <w:tblPr>
      <w:tblStyleRowBandSize w:val="1"/>
      <w:tblStyleColBandSize w:val="1"/>
      <w:tblCellMar>
        <w:left w:w="108" w:type="dxa"/>
        <w:right w:w="108" w:type="dxa"/>
      </w:tblCellMar>
    </w:tblPr>
  </w:style>
  <w:style w:type="paragraph" w:customStyle="1" w:styleId="rvps7">
    <w:name w:val="rvps7"/>
    <w:basedOn w:val="a"/>
    <w:rsid w:val="00352F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352F4C"/>
  </w:style>
  <w:style w:type="paragraph" w:customStyle="1" w:styleId="rvps2">
    <w:name w:val="rvps2"/>
    <w:basedOn w:val="a"/>
    <w:rsid w:val="00352F4C"/>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semiHidden/>
    <w:unhideWhenUsed/>
    <w:rsid w:val="00F65A16"/>
    <w:rPr>
      <w:color w:val="0000FF"/>
      <w:u w:val="single"/>
    </w:rPr>
  </w:style>
  <w:style w:type="paragraph" w:customStyle="1" w:styleId="rvps6">
    <w:name w:val="rvps6"/>
    <w:basedOn w:val="a"/>
    <w:rsid w:val="00F12B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23">
    <w:name w:val="rvts23"/>
    <w:basedOn w:val="a0"/>
    <w:rsid w:val="00F12B4A"/>
  </w:style>
  <w:style w:type="character" w:customStyle="1" w:styleId="rvts44">
    <w:name w:val="rvts44"/>
    <w:basedOn w:val="a0"/>
    <w:rsid w:val="00F12B4A"/>
  </w:style>
  <w:style w:type="paragraph" w:customStyle="1" w:styleId="rvps18">
    <w:name w:val="rvps18"/>
    <w:basedOn w:val="a"/>
    <w:rsid w:val="00F12B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uiPriority w:val="99"/>
    <w:rsid w:val="00F12B4A"/>
  </w:style>
  <w:style w:type="character" w:customStyle="1" w:styleId="rvts46">
    <w:name w:val="rvts46"/>
    <w:basedOn w:val="a0"/>
    <w:rsid w:val="00F12B4A"/>
  </w:style>
  <w:style w:type="character" w:customStyle="1" w:styleId="rvts37">
    <w:name w:val="rvts37"/>
    <w:basedOn w:val="a0"/>
    <w:rsid w:val="00F12B4A"/>
  </w:style>
  <w:style w:type="paragraph" w:styleId="a7">
    <w:name w:val="List Paragraph"/>
    <w:basedOn w:val="a"/>
    <w:uiPriority w:val="34"/>
    <w:qFormat/>
    <w:rsid w:val="0007076C"/>
    <w:pPr>
      <w:spacing w:after="200" w:line="276" w:lineRule="auto"/>
      <w:ind w:left="720"/>
      <w:contextualSpacing/>
    </w:pPr>
    <w:rPr>
      <w:rFonts w:asciiTheme="minorHAnsi" w:eastAsia="Times New Roman" w:hAnsiTheme="minorHAnsi" w:cs="Times New Roman"/>
      <w:lang w:eastAsia="en-US"/>
    </w:rPr>
  </w:style>
  <w:style w:type="character" w:styleId="a8">
    <w:name w:val="FollowedHyperlink"/>
    <w:basedOn w:val="a0"/>
    <w:uiPriority w:val="99"/>
    <w:semiHidden/>
    <w:unhideWhenUsed/>
    <w:rsid w:val="00F43F8D"/>
    <w:rPr>
      <w:color w:val="800080" w:themeColor="followedHyperlink"/>
      <w:u w:val="single"/>
    </w:rPr>
  </w:style>
  <w:style w:type="paragraph" w:styleId="a9">
    <w:name w:val="No Spacing"/>
    <w:uiPriority w:val="99"/>
    <w:qFormat/>
    <w:rsid w:val="00B76AC9"/>
    <w:pPr>
      <w:widowControl w:val="0"/>
      <w:suppressAutoHyphens/>
      <w:spacing w:after="0" w:line="240" w:lineRule="auto"/>
    </w:pPr>
    <w:rPr>
      <w:rFonts w:ascii="Times New Roman" w:eastAsia="SimSun" w:hAnsi="Times New Roman" w:cs="Mangal"/>
      <w:kern w:val="1"/>
      <w:sz w:val="24"/>
      <w:szCs w:val="21"/>
      <w:lang w:eastAsia="hi-IN" w:bidi="hi-IN"/>
    </w:rPr>
  </w:style>
  <w:style w:type="character" w:customStyle="1" w:styleId="apple-converted-space">
    <w:name w:val="apple-converted-space"/>
    <w:uiPriority w:val="99"/>
    <w:rsid w:val="00B76AC9"/>
  </w:style>
  <w:style w:type="paragraph" w:styleId="aa">
    <w:name w:val="header"/>
    <w:basedOn w:val="a"/>
    <w:link w:val="ab"/>
    <w:uiPriority w:val="99"/>
    <w:unhideWhenUsed/>
    <w:rsid w:val="0014043C"/>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14043C"/>
  </w:style>
  <w:style w:type="paragraph" w:styleId="ac">
    <w:name w:val="footer"/>
    <w:basedOn w:val="a"/>
    <w:link w:val="ad"/>
    <w:uiPriority w:val="99"/>
    <w:unhideWhenUsed/>
    <w:rsid w:val="0014043C"/>
    <w:pPr>
      <w:tabs>
        <w:tab w:val="center" w:pos="4819"/>
        <w:tab w:val="right" w:pos="9639"/>
      </w:tabs>
      <w:spacing w:after="0" w:line="240" w:lineRule="auto"/>
    </w:pPr>
  </w:style>
  <w:style w:type="character" w:customStyle="1" w:styleId="ad">
    <w:name w:val="Нижній колонтитул Знак"/>
    <w:basedOn w:val="a0"/>
    <w:link w:val="ac"/>
    <w:uiPriority w:val="99"/>
    <w:rsid w:val="001404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510583">
      <w:bodyDiv w:val="1"/>
      <w:marLeft w:val="0"/>
      <w:marRight w:val="0"/>
      <w:marTop w:val="0"/>
      <w:marBottom w:val="0"/>
      <w:divBdr>
        <w:top w:val="none" w:sz="0" w:space="0" w:color="auto"/>
        <w:left w:val="none" w:sz="0" w:space="0" w:color="auto"/>
        <w:bottom w:val="none" w:sz="0" w:space="0" w:color="auto"/>
        <w:right w:val="none" w:sz="0" w:space="0" w:color="auto"/>
      </w:divBdr>
    </w:div>
    <w:div w:id="528572538">
      <w:bodyDiv w:val="1"/>
      <w:marLeft w:val="0"/>
      <w:marRight w:val="0"/>
      <w:marTop w:val="0"/>
      <w:marBottom w:val="0"/>
      <w:divBdr>
        <w:top w:val="none" w:sz="0" w:space="0" w:color="auto"/>
        <w:left w:val="none" w:sz="0" w:space="0" w:color="auto"/>
        <w:bottom w:val="none" w:sz="0" w:space="0" w:color="auto"/>
        <w:right w:val="none" w:sz="0" w:space="0" w:color="auto"/>
      </w:divBdr>
    </w:div>
    <w:div w:id="1182010002">
      <w:bodyDiv w:val="1"/>
      <w:marLeft w:val="0"/>
      <w:marRight w:val="0"/>
      <w:marTop w:val="0"/>
      <w:marBottom w:val="0"/>
      <w:divBdr>
        <w:top w:val="none" w:sz="0" w:space="0" w:color="auto"/>
        <w:left w:val="none" w:sz="0" w:space="0" w:color="auto"/>
        <w:bottom w:val="none" w:sz="0" w:space="0" w:color="auto"/>
        <w:right w:val="none" w:sz="0" w:space="0" w:color="auto"/>
      </w:divBdr>
    </w:div>
    <w:div w:id="1271278915">
      <w:bodyDiv w:val="1"/>
      <w:marLeft w:val="0"/>
      <w:marRight w:val="0"/>
      <w:marTop w:val="0"/>
      <w:marBottom w:val="0"/>
      <w:divBdr>
        <w:top w:val="none" w:sz="0" w:space="0" w:color="auto"/>
        <w:left w:val="none" w:sz="0" w:space="0" w:color="auto"/>
        <w:bottom w:val="none" w:sz="0" w:space="0" w:color="auto"/>
        <w:right w:val="none" w:sz="0" w:space="0" w:color="auto"/>
      </w:divBdr>
    </w:div>
    <w:div w:id="1347369881">
      <w:bodyDiv w:val="1"/>
      <w:marLeft w:val="0"/>
      <w:marRight w:val="0"/>
      <w:marTop w:val="0"/>
      <w:marBottom w:val="0"/>
      <w:divBdr>
        <w:top w:val="none" w:sz="0" w:space="0" w:color="auto"/>
        <w:left w:val="none" w:sz="0" w:space="0" w:color="auto"/>
        <w:bottom w:val="none" w:sz="0" w:space="0" w:color="auto"/>
        <w:right w:val="none" w:sz="0" w:space="0" w:color="auto"/>
      </w:divBdr>
    </w:div>
    <w:div w:id="1415928743">
      <w:bodyDiv w:val="1"/>
      <w:marLeft w:val="0"/>
      <w:marRight w:val="0"/>
      <w:marTop w:val="0"/>
      <w:marBottom w:val="0"/>
      <w:divBdr>
        <w:top w:val="none" w:sz="0" w:space="0" w:color="auto"/>
        <w:left w:val="none" w:sz="0" w:space="0" w:color="auto"/>
        <w:bottom w:val="none" w:sz="0" w:space="0" w:color="auto"/>
        <w:right w:val="none" w:sz="0" w:space="0" w:color="auto"/>
      </w:divBdr>
    </w:div>
    <w:div w:id="1955164277">
      <w:bodyDiv w:val="1"/>
      <w:marLeft w:val="0"/>
      <w:marRight w:val="0"/>
      <w:marTop w:val="0"/>
      <w:marBottom w:val="0"/>
      <w:divBdr>
        <w:top w:val="none" w:sz="0" w:space="0" w:color="auto"/>
        <w:left w:val="none" w:sz="0" w:space="0" w:color="auto"/>
        <w:bottom w:val="none" w:sz="0" w:space="0" w:color="auto"/>
        <w:right w:val="none" w:sz="0" w:space="0" w:color="auto"/>
      </w:divBdr>
    </w:div>
    <w:div w:id="2104445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16EC1-D282-45A9-BF60-C23EBB4EF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4</Pages>
  <Words>4937</Words>
  <Characters>2815</Characters>
  <Application>Microsoft Office Word</Application>
  <DocSecurity>0</DocSecurity>
  <Lines>23</Lines>
  <Paragraphs>15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Krokoz™</Company>
  <LinksUpToDate>false</LinksUpToDate>
  <CharactersWithSpaces>7737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Горбенко Руслан Олександрович</dc:creator>
  <cp:lastModifiedBy>Горбенко Руслан Олександрович</cp:lastModifiedBy>
  <cp:revision>14</cp:revision>
  <dcterms:created xsi:type="dcterms:W3CDTF">2020-01-21T15:57:00Z</dcterms:created>
  <dcterms:modified xsi:type="dcterms:W3CDTF">2020-02-10T08:53:00Z</dcterms:modified>
</cp:coreProperties>
</file>