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2446" w:rsidRPr="0004773B" w:rsidRDefault="006C2446" w:rsidP="006C2446">
      <w:pPr>
        <w:pStyle w:val="aa"/>
        <w:jc w:val="center"/>
        <w:rPr>
          <w:b/>
          <w:szCs w:val="28"/>
          <w:lang w:val="uk-UA" w:eastAsia="uk-UA"/>
        </w:rPr>
      </w:pPr>
      <w:bookmarkStart w:id="0" w:name="_GoBack"/>
      <w:bookmarkEnd w:id="0"/>
    </w:p>
    <w:p w:rsidR="0004773B" w:rsidRPr="0004773B" w:rsidRDefault="0004773B" w:rsidP="0004773B">
      <w:pPr>
        <w:pStyle w:val="aa"/>
        <w:ind w:left="5664" w:firstLine="708"/>
        <w:jc w:val="both"/>
        <w:rPr>
          <w:sz w:val="24"/>
          <w:szCs w:val="24"/>
          <w:lang w:val="uk-UA"/>
        </w:rPr>
      </w:pPr>
      <w:r w:rsidRPr="0004773B">
        <w:rPr>
          <w:sz w:val="24"/>
          <w:szCs w:val="24"/>
          <w:lang w:val="uk-UA"/>
        </w:rPr>
        <w:t xml:space="preserve">До реєстр. № 3048 </w:t>
      </w:r>
    </w:p>
    <w:p w:rsidR="0004773B" w:rsidRPr="0004773B" w:rsidRDefault="0004773B" w:rsidP="0004773B">
      <w:pPr>
        <w:pStyle w:val="aa"/>
        <w:ind w:left="5664" w:firstLine="708"/>
        <w:jc w:val="both"/>
        <w:rPr>
          <w:sz w:val="24"/>
          <w:szCs w:val="24"/>
          <w:lang w:val="uk-UA"/>
        </w:rPr>
      </w:pPr>
      <w:r w:rsidRPr="0004773B">
        <w:rPr>
          <w:sz w:val="24"/>
          <w:szCs w:val="24"/>
          <w:lang w:val="uk-UA"/>
        </w:rPr>
        <w:t>(друге читання)</w:t>
      </w:r>
    </w:p>
    <w:p w:rsidR="0004773B" w:rsidRPr="0004773B" w:rsidRDefault="0004773B" w:rsidP="0004773B">
      <w:pPr>
        <w:ind w:left="5664" w:firstLine="708"/>
        <w:rPr>
          <w:rFonts w:ascii="Times New Roman" w:hAnsi="Times New Roman"/>
          <w:sz w:val="28"/>
          <w:szCs w:val="28"/>
          <w:lang w:val="uk-UA"/>
        </w:rPr>
      </w:pPr>
    </w:p>
    <w:p w:rsidR="0004773B" w:rsidRPr="0004773B" w:rsidRDefault="0004773B" w:rsidP="0004773B">
      <w:pPr>
        <w:pStyle w:val="aa"/>
        <w:jc w:val="center"/>
        <w:rPr>
          <w:b/>
          <w:lang w:val="uk-UA"/>
        </w:rPr>
      </w:pPr>
    </w:p>
    <w:p w:rsidR="0004773B" w:rsidRPr="0004773B" w:rsidRDefault="0004773B" w:rsidP="0004773B">
      <w:pPr>
        <w:pStyle w:val="aa"/>
        <w:jc w:val="center"/>
        <w:rPr>
          <w:b/>
          <w:lang w:val="uk-UA"/>
        </w:rPr>
      </w:pPr>
      <w:r w:rsidRPr="0004773B">
        <w:rPr>
          <w:b/>
          <w:lang w:val="uk-UA"/>
        </w:rPr>
        <w:t>ЗАУВАЖЕННЯ</w:t>
      </w:r>
    </w:p>
    <w:p w:rsidR="0004773B" w:rsidRPr="0004773B" w:rsidRDefault="0004773B" w:rsidP="0004773B">
      <w:pPr>
        <w:pStyle w:val="aa"/>
        <w:jc w:val="center"/>
        <w:rPr>
          <w:b/>
          <w:lang w:val="uk-UA"/>
        </w:rPr>
      </w:pPr>
      <w:r w:rsidRPr="0004773B">
        <w:rPr>
          <w:b/>
          <w:lang w:val="uk-UA"/>
        </w:rPr>
        <w:t>до проекту Закону України</w:t>
      </w:r>
    </w:p>
    <w:p w:rsidR="0004773B" w:rsidRPr="0004773B" w:rsidRDefault="0004773B" w:rsidP="0004773B">
      <w:pPr>
        <w:pStyle w:val="aa"/>
        <w:ind w:left="708" w:firstLine="70"/>
        <w:jc w:val="center"/>
        <w:rPr>
          <w:b/>
          <w:lang w:val="uk-UA"/>
        </w:rPr>
      </w:pPr>
      <w:r w:rsidRPr="0004773B">
        <w:rPr>
          <w:rStyle w:val="ad"/>
          <w:b/>
          <w:color w:val="000000"/>
          <w:szCs w:val="28"/>
          <w:lang w:val="uk-UA"/>
        </w:rPr>
        <w:t>«</w:t>
      </w:r>
      <w:r w:rsidRPr="0004773B">
        <w:rPr>
          <w:rFonts w:cs="Times New Roman"/>
          <w:b/>
          <w:szCs w:val="28"/>
          <w:lang w:val="uk-UA"/>
        </w:rPr>
        <w:t>Про внесення змін до Закону України «Про забезпечення прав і свобод громадян та правовий режим на тимчасово окупованій території України» щодо встановлення альтернативної підсудності справ, учасники яких проживають на тимчасово окупованій території Автономної Республіки Крим та міста Севастополя</w:t>
      </w:r>
      <w:r w:rsidRPr="0004773B">
        <w:rPr>
          <w:b/>
          <w:szCs w:val="28"/>
          <w:lang w:val="uk-UA"/>
        </w:rPr>
        <w:t>»</w:t>
      </w:r>
    </w:p>
    <w:p w:rsidR="0004773B" w:rsidRPr="0004773B" w:rsidRDefault="0004773B" w:rsidP="0004773B">
      <w:pPr>
        <w:pStyle w:val="aa"/>
        <w:jc w:val="center"/>
        <w:rPr>
          <w:lang w:val="uk-UA"/>
        </w:rPr>
      </w:pPr>
      <w:r w:rsidRPr="0004773B">
        <w:rPr>
          <w:b/>
          <w:lang w:val="uk-UA"/>
        </w:rPr>
        <w:t xml:space="preserve"> (реєстр.№3048)</w:t>
      </w:r>
    </w:p>
    <w:p w:rsidR="0004773B" w:rsidRPr="0004773B" w:rsidRDefault="0004773B" w:rsidP="0004773B">
      <w:pPr>
        <w:pStyle w:val="aa"/>
        <w:ind w:firstLine="708"/>
        <w:jc w:val="both"/>
        <w:rPr>
          <w:lang w:val="uk-UA"/>
        </w:rPr>
      </w:pPr>
    </w:p>
    <w:p w:rsidR="0004773B" w:rsidRPr="0004773B" w:rsidRDefault="0004773B" w:rsidP="0004773B">
      <w:pPr>
        <w:pStyle w:val="aa"/>
        <w:ind w:firstLine="708"/>
        <w:jc w:val="both"/>
        <w:rPr>
          <w:lang w:val="uk-UA"/>
        </w:rPr>
      </w:pPr>
      <w:r w:rsidRPr="0004773B">
        <w:rPr>
          <w:lang w:val="uk-UA"/>
        </w:rPr>
        <w:t xml:space="preserve">У Головному юридичному управлінні розглянуто підготовлений до другого читання проект Закону України </w:t>
      </w:r>
      <w:r w:rsidRPr="0004773B">
        <w:rPr>
          <w:rStyle w:val="ad"/>
          <w:color w:val="000000"/>
          <w:szCs w:val="28"/>
          <w:lang w:val="uk-UA"/>
        </w:rPr>
        <w:t>«</w:t>
      </w:r>
      <w:r w:rsidRPr="0004773B">
        <w:rPr>
          <w:lang w:val="uk-UA"/>
        </w:rPr>
        <w:t xml:space="preserve">Про внесення змін до Закону України «Про забезпечення прав і свобод громадян та правовий режим на тимчасово окупованій території України» щодо встановлення альтернативної підсудності справ, учасники яких проживають на тимчасово окупованій території Автономної Республіки Крим та міста Севастополя». </w:t>
      </w:r>
    </w:p>
    <w:p w:rsidR="0004773B" w:rsidRPr="0004773B" w:rsidRDefault="0004773B" w:rsidP="0004773B">
      <w:pPr>
        <w:pStyle w:val="aa"/>
        <w:ind w:firstLine="708"/>
        <w:jc w:val="both"/>
        <w:rPr>
          <w:lang w:val="uk-UA"/>
        </w:rPr>
      </w:pPr>
      <w:r w:rsidRPr="0004773B">
        <w:rPr>
          <w:lang w:val="uk-UA"/>
        </w:rPr>
        <w:t xml:space="preserve">Насамперед слід зазначити, що Головне управління поділяє зауваження Головного науково-експертного управління, висловлені ним у своєму висновку від 01.06.2020, і які зберегли свою актуальність, </w:t>
      </w:r>
      <w:r w:rsidRPr="0004773B">
        <w:rPr>
          <w:u w:val="single"/>
          <w:lang w:val="uk-UA"/>
        </w:rPr>
        <w:t>щодо доцільності внесення змін з питань альтернативної підсудності відповідно до абзаців другого та четвертого</w:t>
      </w:r>
      <w:r w:rsidRPr="0004773B">
        <w:rPr>
          <w:lang w:val="uk-UA"/>
        </w:rPr>
        <w:t xml:space="preserve"> частини першої статті 12 Закону України «Про забезпечення прав і свобод громадян та правовий режим на тимчасово окупованій території України», замість внесення змін шляхом доповнення частини першої статті 12 Закону абзацами десятим та дванадцятим (в редакції проекту).</w:t>
      </w:r>
    </w:p>
    <w:p w:rsidR="0004773B" w:rsidRPr="0004773B" w:rsidRDefault="0004773B" w:rsidP="0004773B">
      <w:pPr>
        <w:pStyle w:val="aa"/>
        <w:ind w:firstLine="708"/>
        <w:jc w:val="both"/>
        <w:rPr>
          <w:lang w:val="uk-UA"/>
        </w:rPr>
      </w:pPr>
      <w:r w:rsidRPr="0004773B">
        <w:rPr>
          <w:lang w:val="uk-UA"/>
        </w:rPr>
        <w:t xml:space="preserve">Разом з тим варто зауважити, що підготовлений текст законопроекту, в тому числі і його назва, не враховує вимог статті 116 Регламенту Верховної Ради України, оскільки </w:t>
      </w:r>
      <w:bookmarkStart w:id="1" w:name="n920"/>
      <w:bookmarkEnd w:id="1"/>
      <w:r w:rsidRPr="0004773B">
        <w:rPr>
          <w:lang w:val="uk-UA"/>
        </w:rPr>
        <w:t xml:space="preserve"> пропозиції і поправки до законопроекту, який готується до другого читання, можуть вноситися лише до того тексту законопроекту (розділів, глав, статей, їх частин, пунктів, підпунктів, абзаців, речень), який прийнятий Верховною Радою за основу. Головний комітет, як виняток, може прийняти рішення про врахування внесених пропозицій і поправок щодо виправлень, уточнень, усунення помилок та/або суперечностей </w:t>
      </w:r>
      <w:r w:rsidRPr="0004773B">
        <w:rPr>
          <w:lang w:val="uk-UA"/>
        </w:rPr>
        <w:lastRenderedPageBreak/>
        <w:t xml:space="preserve">у тексті законопроекту, інших структурних частин законопроекту та/або інших законодавчих актів, що не були предметом розгляду в першому читанні, </w:t>
      </w:r>
      <w:r w:rsidRPr="0004773B">
        <w:rPr>
          <w:u w:val="single"/>
          <w:lang w:val="uk-UA"/>
        </w:rPr>
        <w:t>якщо про необхідність їх внесення було зазначено у висновках цього головного комітету та/або експертного підрозділу Апарату Верховної Ради і оголошено головуючим на пленарному засіданні</w:t>
      </w:r>
      <w:r w:rsidRPr="0004773B">
        <w:rPr>
          <w:lang w:val="uk-UA"/>
        </w:rPr>
        <w:t xml:space="preserve"> під час розгляду такого законопроекту у першому читанні. Такі пропозиції і поправки повинні відповідати предмету правового регулювання законопроекту.</w:t>
      </w:r>
    </w:p>
    <w:p w:rsidR="0004773B" w:rsidRPr="0004773B" w:rsidRDefault="0004773B" w:rsidP="0004773B">
      <w:pPr>
        <w:pStyle w:val="ae"/>
        <w:widowControl w:val="0"/>
        <w:spacing w:before="0" w:beforeAutospacing="0" w:after="0" w:afterAutospacing="0"/>
        <w:ind w:firstLine="720"/>
        <w:jc w:val="both"/>
        <w:rPr>
          <w:sz w:val="28"/>
          <w:szCs w:val="28"/>
        </w:rPr>
      </w:pPr>
      <w:r w:rsidRPr="0004773B">
        <w:rPr>
          <w:sz w:val="28"/>
          <w:szCs w:val="28"/>
        </w:rPr>
        <w:t xml:space="preserve">До підготовленого тексту законопроекту вважаємо за необхідне висловити й такі міркування. </w:t>
      </w:r>
    </w:p>
    <w:p w:rsidR="0004773B" w:rsidRPr="0004773B" w:rsidRDefault="0004773B" w:rsidP="0004773B">
      <w:pPr>
        <w:pStyle w:val="aa"/>
        <w:ind w:firstLine="708"/>
        <w:jc w:val="both"/>
        <w:rPr>
          <w:lang w:val="uk-UA"/>
        </w:rPr>
      </w:pPr>
      <w:r w:rsidRPr="0004773B">
        <w:rPr>
          <w:lang w:val="uk-UA"/>
        </w:rPr>
        <w:t xml:space="preserve">1.  Так, абзацами першим та другим частини першої статті 12 Закону України </w:t>
      </w:r>
      <w:r w:rsidRPr="0004773B">
        <w:rPr>
          <w:rFonts w:cs="Times New Roman"/>
          <w:lang w:val="uk-UA"/>
        </w:rPr>
        <w:t>"Про забезпечення прав і свобод громадян та правовий режим на тимчасово окупованій території України"</w:t>
      </w:r>
      <w:r w:rsidRPr="0004773B">
        <w:rPr>
          <w:lang w:val="uk-UA"/>
        </w:rPr>
        <w:t xml:space="preserve"> (далі – Закон) </w:t>
      </w:r>
      <w:r w:rsidRPr="0004773B">
        <w:rPr>
          <w:u w:val="single"/>
          <w:lang w:val="uk-UA"/>
        </w:rPr>
        <w:t>передбачено</w:t>
      </w:r>
      <w:r w:rsidRPr="0004773B">
        <w:rPr>
          <w:lang w:val="uk-UA"/>
        </w:rPr>
        <w:t xml:space="preserve"> у зв’язку з неможливістю здійснювати правосуддя судами Автономної Республіки Крим та міста Севастополя на тимчасово окупованих територіях, змінити територіальну підсудність судових справ, підсудних розташованим на території Автономної Республіки Крим та міста Севастополя судам, та забезпечити розгляд </w:t>
      </w:r>
      <w:bookmarkStart w:id="2" w:name="n70"/>
      <w:bookmarkEnd w:id="2"/>
      <w:r w:rsidRPr="0004773B">
        <w:rPr>
          <w:lang w:val="uk-UA"/>
        </w:rPr>
        <w:t xml:space="preserve">цивільних справ, підсудних місцевим загальним судам, розташованим на території Автономної Республіки Крим та міста Севастополя, - місцевими загальними судами міста Києва, що </w:t>
      </w:r>
      <w:r w:rsidRPr="0004773B">
        <w:rPr>
          <w:u w:val="single"/>
          <w:lang w:val="uk-UA"/>
        </w:rPr>
        <w:t>визначаються Апеляційним судом міста Києва</w:t>
      </w:r>
      <w:r w:rsidRPr="0004773B">
        <w:rPr>
          <w:lang w:val="uk-UA"/>
        </w:rPr>
        <w:t>.</w:t>
      </w:r>
    </w:p>
    <w:p w:rsidR="0004773B" w:rsidRPr="0004773B" w:rsidRDefault="0004773B" w:rsidP="0004773B">
      <w:pPr>
        <w:pStyle w:val="aa"/>
        <w:ind w:firstLine="708"/>
        <w:jc w:val="both"/>
        <w:rPr>
          <w:lang w:val="uk-UA"/>
        </w:rPr>
      </w:pPr>
      <w:r w:rsidRPr="0004773B">
        <w:rPr>
          <w:lang w:val="uk-UA"/>
        </w:rPr>
        <w:t xml:space="preserve">Як відомо, 02.12.2020 парламентом було прийнято Закон України (08.12.2020 направлено на підпис Президенту України), яким, зокрема, абзац другий викладено у новій редакції, і яким передбачено, що у зв’язку з неможливістю здійснювати правосуддя судами Автономної Республіки Крим та міста Севастополя на тимчасово окупованих територіях, змінити територіальну підсудність судових справ, підсудних розташованим на території Автономної Республіки Крим та міста Севастополя судам, та забезпечити розгляд </w:t>
      </w:r>
      <w:r w:rsidRPr="0004773B">
        <w:rPr>
          <w:lang w:val="uk-UA" w:eastAsia="uk-UA"/>
        </w:rPr>
        <w:t xml:space="preserve">цивільних справ, підсудних місцевим загальним судам, розташованим на території Автономної Республіки Крим та міста Севастополя, - місцевими загальними судами міста Києва, що </w:t>
      </w:r>
      <w:r w:rsidRPr="0004773B">
        <w:rPr>
          <w:u w:val="single"/>
          <w:lang w:val="uk-UA" w:eastAsia="uk-UA"/>
        </w:rPr>
        <w:t>визначаються апеляційним судом, юрисдикція якого поширюється на місто Київ.</w:t>
      </w:r>
    </w:p>
    <w:p w:rsidR="0004773B" w:rsidRPr="0004773B" w:rsidRDefault="0004773B" w:rsidP="0004773B">
      <w:pPr>
        <w:pStyle w:val="aa"/>
        <w:ind w:firstLine="708"/>
        <w:jc w:val="both"/>
        <w:rPr>
          <w:szCs w:val="28"/>
          <w:lang w:val="uk-UA"/>
        </w:rPr>
      </w:pPr>
      <w:r w:rsidRPr="0004773B">
        <w:rPr>
          <w:szCs w:val="28"/>
          <w:lang w:val="uk-UA"/>
        </w:rPr>
        <w:t>Зазначеним законопроектом пропонується доповнити частину першу статті 12 Закону новими абзацами, якими</w:t>
      </w:r>
      <w:r>
        <w:rPr>
          <w:szCs w:val="28"/>
          <w:lang w:val="uk-UA"/>
        </w:rPr>
        <w:t>,</w:t>
      </w:r>
      <w:r w:rsidRPr="0004773B">
        <w:rPr>
          <w:szCs w:val="28"/>
          <w:lang w:val="uk-UA"/>
        </w:rPr>
        <w:t xml:space="preserve"> зокрема, передбачено, що </w:t>
      </w:r>
      <w:r w:rsidRPr="0004773B">
        <w:rPr>
          <w:rFonts w:cs="Times New Roman"/>
          <w:szCs w:val="28"/>
          <w:lang w:val="uk-UA"/>
        </w:rPr>
        <w:t xml:space="preserve">у цивільних справах, підсудних місцевим загальним судам, розташованим на території Автономної Республіки Крим та міста Севастополя, </w:t>
      </w:r>
      <w:r w:rsidRPr="0004773B">
        <w:rPr>
          <w:rFonts w:cs="Times New Roman"/>
          <w:szCs w:val="28"/>
          <w:u w:val="single"/>
          <w:lang w:val="uk-UA"/>
        </w:rPr>
        <w:t xml:space="preserve">позовні заяви, заяви про видачу судового наказу, а також заяви у справах окремого провадження можуть </w:t>
      </w:r>
      <w:r w:rsidRPr="0004773B">
        <w:rPr>
          <w:rFonts w:cs="Times New Roman"/>
          <w:szCs w:val="28"/>
          <w:lang w:val="uk-UA"/>
        </w:rPr>
        <w:t>також пред’являтися фізичними особами, які постійно проживають на тимчасово окупованій території</w:t>
      </w:r>
      <w:r w:rsidRPr="0004773B">
        <w:rPr>
          <w:rFonts w:cs="Times New Roman"/>
          <w:szCs w:val="28"/>
          <w:u w:val="single"/>
          <w:lang w:val="uk-UA"/>
        </w:rPr>
        <w:t>, до місцевих загальних судів, розташованих у межах Херсонської області</w:t>
      </w:r>
      <w:r w:rsidRPr="0004773B">
        <w:rPr>
          <w:rFonts w:cs="Times New Roman"/>
          <w:szCs w:val="28"/>
          <w:lang w:val="uk-UA"/>
        </w:rPr>
        <w:t>, за вибором особи (абзац десятий в редакції проекту).</w:t>
      </w:r>
    </w:p>
    <w:p w:rsidR="0004773B" w:rsidRPr="0004773B" w:rsidRDefault="0004773B" w:rsidP="0004773B">
      <w:pPr>
        <w:pStyle w:val="aa"/>
        <w:ind w:firstLine="708"/>
        <w:jc w:val="both"/>
        <w:rPr>
          <w:rFonts w:cs="Times New Roman"/>
          <w:szCs w:val="28"/>
          <w:lang w:val="uk-UA"/>
        </w:rPr>
      </w:pPr>
      <w:r w:rsidRPr="0004773B">
        <w:rPr>
          <w:rFonts w:cs="Times New Roman"/>
          <w:szCs w:val="28"/>
          <w:lang w:val="uk-UA"/>
        </w:rPr>
        <w:t xml:space="preserve">Після відкриття провадження в цивільних справах, підсудних місцевим загальним судам, розташованим на території Автономної Республіки Крим та міста Севастополя, до моменту розгляду справи по суті фізичні особи (відповідач, боржник, заінтересована особа, третя особа), які постійно проживають на тимчасово окупованій території, можуть подати клопотання </w:t>
      </w:r>
      <w:r w:rsidRPr="0004773B">
        <w:rPr>
          <w:rFonts w:cs="Times New Roman"/>
          <w:szCs w:val="28"/>
          <w:lang w:val="uk-UA"/>
        </w:rPr>
        <w:lastRenderedPageBreak/>
        <w:t>про передачу справи до місцевих загальних судів, розташованих у межах Херсонської області, за вибором особи. У разі подання такого клопотання справа передається до визначеного особою суду в порядку, встановленому Цивільним процесуальним кодексом України. Повторна передача справи не допускається (абзац одинадцятий в редакції проекту).</w:t>
      </w:r>
    </w:p>
    <w:p w:rsidR="0004773B" w:rsidRPr="0004773B" w:rsidRDefault="0004773B" w:rsidP="0004773B">
      <w:pPr>
        <w:pStyle w:val="aa"/>
        <w:ind w:firstLine="708"/>
        <w:jc w:val="both"/>
        <w:rPr>
          <w:rFonts w:cs="Times New Roman"/>
          <w:szCs w:val="28"/>
          <w:lang w:val="uk-UA"/>
        </w:rPr>
      </w:pPr>
      <w:r w:rsidRPr="0004773B">
        <w:rPr>
          <w:rFonts w:cs="Times New Roman"/>
          <w:szCs w:val="28"/>
          <w:lang w:val="uk-UA"/>
        </w:rPr>
        <w:t>Таким чином, положеннями законопроекту передбачається альтернативна територіальна юрисдикція (підсудність) цивільних справ, підсудних місцевим загальним судам, розташованим на території Автономної Республіки Крим та міста Севастополя.</w:t>
      </w:r>
    </w:p>
    <w:p w:rsidR="0004773B" w:rsidRPr="0004773B" w:rsidRDefault="0004773B" w:rsidP="0004773B">
      <w:pPr>
        <w:pStyle w:val="aa"/>
        <w:ind w:firstLine="708"/>
        <w:jc w:val="both"/>
        <w:rPr>
          <w:szCs w:val="28"/>
          <w:lang w:val="uk-UA"/>
        </w:rPr>
      </w:pPr>
      <w:r w:rsidRPr="0004773B">
        <w:rPr>
          <w:rFonts w:cs="Times New Roman"/>
          <w:szCs w:val="28"/>
          <w:lang w:val="uk-UA"/>
        </w:rPr>
        <w:t xml:space="preserve">Не заперечуючи в цілому проти запровадження альтернативної підсудності цивільних справ, звертаємо увагу на положення абзацу одинадцятого в редакції проекту, яким передбачено, що </w:t>
      </w:r>
      <w:r w:rsidRPr="0004773B">
        <w:rPr>
          <w:szCs w:val="28"/>
          <w:lang w:val="uk-UA"/>
        </w:rPr>
        <w:t xml:space="preserve">у разі подання клопотання про зміну підсудності справи вона </w:t>
      </w:r>
      <w:r w:rsidRPr="0004773B">
        <w:rPr>
          <w:szCs w:val="28"/>
          <w:u w:val="single"/>
          <w:lang w:val="uk-UA"/>
        </w:rPr>
        <w:t>передається до визначеного особою суду в порядку, встановленому Цивільним процесуальним кодексом України</w:t>
      </w:r>
      <w:r w:rsidRPr="0004773B">
        <w:rPr>
          <w:szCs w:val="28"/>
          <w:lang w:val="uk-UA"/>
        </w:rPr>
        <w:t xml:space="preserve">. </w:t>
      </w:r>
    </w:p>
    <w:p w:rsidR="0004773B" w:rsidRPr="0004773B" w:rsidRDefault="0004773B" w:rsidP="0004773B">
      <w:pPr>
        <w:pStyle w:val="aa"/>
        <w:jc w:val="both"/>
        <w:rPr>
          <w:szCs w:val="28"/>
          <w:lang w:val="uk-UA"/>
        </w:rPr>
      </w:pPr>
      <w:r w:rsidRPr="0004773B">
        <w:rPr>
          <w:szCs w:val="28"/>
          <w:lang w:val="uk-UA"/>
        </w:rPr>
        <w:tab/>
        <w:t xml:space="preserve">На нашу думку, на практиці із застосуванням таких положень можуть виникнути труднощі. Так, питання передачі справи з одного суду до іншого дійсно визначені статтею 31 Цивільного процесуального кодексу України (далі-ЦПК України). При цьому перелік підстав для такої передачі є вичерпним і розширеному тлумаченню не підлягає. Серед зазначених підстав передачі справи є передача, якщо така справа належить до територіальної юрисдикції (підсудності) іншого суду. </w:t>
      </w:r>
    </w:p>
    <w:p w:rsidR="0004773B" w:rsidRPr="0004773B" w:rsidRDefault="0004773B" w:rsidP="0004773B">
      <w:pPr>
        <w:pStyle w:val="aa"/>
        <w:ind w:firstLine="708"/>
        <w:jc w:val="both"/>
        <w:rPr>
          <w:szCs w:val="28"/>
          <w:lang w:val="uk-UA"/>
        </w:rPr>
      </w:pPr>
      <w:r w:rsidRPr="0004773B">
        <w:rPr>
          <w:szCs w:val="28"/>
          <w:lang w:val="uk-UA"/>
        </w:rPr>
        <w:t>Отже, як вбачається із положень статті 31 ЦПК України, справа може бути передана з одного суду до іншого, якщо територіальна юрисдикція (підсудність) іншого суду чітко визначена законом.</w:t>
      </w:r>
    </w:p>
    <w:p w:rsidR="0004773B" w:rsidRPr="0004773B" w:rsidRDefault="0004773B" w:rsidP="0004773B">
      <w:pPr>
        <w:pStyle w:val="aa"/>
        <w:ind w:firstLine="708"/>
        <w:jc w:val="both"/>
        <w:rPr>
          <w:szCs w:val="28"/>
          <w:lang w:val="uk-UA"/>
        </w:rPr>
      </w:pPr>
      <w:r w:rsidRPr="0004773B">
        <w:rPr>
          <w:szCs w:val="28"/>
          <w:lang w:val="uk-UA"/>
        </w:rPr>
        <w:t>Однак з огляду на положення чинної редакції статті 12 Закону та положення законопроекту щодо альтернативної підсудності територіальна юрисдикція судів щодо цивільних справ, підсудних місцевим загальним судам, розташованим на території Автономної Республіки Крим та міста Севастополя, не буде чітко визначена законом, в окремих випадках за наявності відповідного клопотання вона буде визначатися ухвалою суду, оскільки сторонам законом надається право звертатися як до місцевого загального суду міста Києва, так і до місцевого загального суду, розташованого у межах Херсонської області. Отже, за наявності таких положень щодо альтернативної підсудності справ не виключені випадки, коли позивач буде клопотатися про розгляд цивільної справи судом міста Києва, а відповідач – судом, розташованим у межах Херсонської області.</w:t>
      </w:r>
    </w:p>
    <w:p w:rsidR="0004773B" w:rsidRPr="0004773B" w:rsidRDefault="0004773B" w:rsidP="0004773B">
      <w:pPr>
        <w:pStyle w:val="aa"/>
        <w:ind w:firstLine="708"/>
        <w:jc w:val="both"/>
        <w:rPr>
          <w:szCs w:val="28"/>
          <w:lang w:val="uk-UA"/>
        </w:rPr>
      </w:pPr>
      <w:r w:rsidRPr="0004773B">
        <w:rPr>
          <w:szCs w:val="28"/>
          <w:lang w:val="uk-UA"/>
        </w:rPr>
        <w:t xml:space="preserve">За такої ситуації, враховуючи викладене, вважаємо, що формулювання, використане в абзаці одинадцятому частини першої статті 12 Закону в редакції проекту «у разі подання клопотання про зміну підсудності справи вона </w:t>
      </w:r>
      <w:r w:rsidRPr="0004773B">
        <w:rPr>
          <w:szCs w:val="28"/>
          <w:u w:val="single"/>
          <w:lang w:val="uk-UA"/>
        </w:rPr>
        <w:t xml:space="preserve">передається до визначеного особою суду в порядку, встановленому Цивільним процесуальним кодексом України» </w:t>
      </w:r>
      <w:r w:rsidRPr="0004773B">
        <w:rPr>
          <w:szCs w:val="28"/>
          <w:lang w:val="uk-UA"/>
        </w:rPr>
        <w:t>є некоректним і потребує відповідного  коригування. Зокрема, доцільно зазначити, що справа може передаватися судом у разі подання такого клопотання.</w:t>
      </w:r>
    </w:p>
    <w:p w:rsidR="0004773B" w:rsidRPr="0004773B" w:rsidRDefault="0004773B" w:rsidP="0004773B">
      <w:pPr>
        <w:pStyle w:val="aa"/>
        <w:ind w:firstLine="708"/>
        <w:jc w:val="both"/>
        <w:rPr>
          <w:szCs w:val="28"/>
          <w:lang w:val="uk-UA"/>
        </w:rPr>
      </w:pPr>
      <w:r w:rsidRPr="0004773B">
        <w:rPr>
          <w:szCs w:val="28"/>
          <w:lang w:val="uk-UA"/>
        </w:rPr>
        <w:lastRenderedPageBreak/>
        <w:t xml:space="preserve">Звертаємо також увагу на те, що стаття 31 ЦПК України не містить самого порядку передачі справи з одного суду до іншого, а визначає лише підстави такої передачі. </w:t>
      </w:r>
    </w:p>
    <w:p w:rsidR="0004773B" w:rsidRPr="0004773B" w:rsidRDefault="0004773B" w:rsidP="0004773B">
      <w:pPr>
        <w:pStyle w:val="aa"/>
        <w:ind w:firstLine="708"/>
        <w:jc w:val="both"/>
        <w:rPr>
          <w:szCs w:val="28"/>
          <w:lang w:val="uk-UA"/>
        </w:rPr>
      </w:pPr>
      <w:r w:rsidRPr="0004773B">
        <w:rPr>
          <w:szCs w:val="28"/>
          <w:lang w:val="uk-UA"/>
        </w:rPr>
        <w:t xml:space="preserve">Крім того, на нашу думку, зважаючи на те, що </w:t>
      </w:r>
      <w:r w:rsidRPr="0004773B">
        <w:rPr>
          <w:rStyle w:val="rvts0"/>
          <w:lang w:val="uk-UA"/>
        </w:rPr>
        <w:t>заходи правового реагування на тимчасово окупованій території визначені саме в Законі України «</w:t>
      </w:r>
      <w:r w:rsidRPr="0004773B">
        <w:rPr>
          <w:rStyle w:val="rvts23"/>
          <w:lang w:val="uk-UA"/>
        </w:rPr>
        <w:t xml:space="preserve">Про забезпечення прав і свобод громадян та правовий режим на тимчасово окупованій території України», а також з метою дотримання принципу правової визначеності </w:t>
      </w:r>
      <w:r w:rsidRPr="0004773B">
        <w:rPr>
          <w:szCs w:val="28"/>
          <w:lang w:val="uk-UA"/>
        </w:rPr>
        <w:t xml:space="preserve">порядок передачі цивільних справ, підсудних місцевим загальним судам, розташованим на території Автономної Республіки Крим та міста Севастополя, до інших судів, юрисдикція яких також визначена цим Законом, мав би визначатися законом </w:t>
      </w:r>
      <w:r w:rsidRPr="0004773B">
        <w:rPr>
          <w:rStyle w:val="rvts23"/>
          <w:lang w:val="uk-UA"/>
        </w:rPr>
        <w:t>про забезпечення прав і свобод громадян та правовий режим на тимчасово окупованій території України</w:t>
      </w:r>
      <w:r w:rsidRPr="0004773B">
        <w:rPr>
          <w:szCs w:val="28"/>
          <w:lang w:val="uk-UA"/>
        </w:rPr>
        <w:t>.</w:t>
      </w:r>
    </w:p>
    <w:p w:rsidR="0004773B" w:rsidRPr="0004773B" w:rsidRDefault="0004773B" w:rsidP="0004773B">
      <w:pPr>
        <w:pStyle w:val="aa"/>
        <w:ind w:firstLine="708"/>
        <w:jc w:val="both"/>
        <w:rPr>
          <w:rFonts w:cs="Times New Roman"/>
          <w:szCs w:val="28"/>
          <w:u w:val="single"/>
          <w:lang w:val="uk-UA"/>
        </w:rPr>
      </w:pPr>
      <w:r w:rsidRPr="0004773B">
        <w:rPr>
          <w:szCs w:val="28"/>
          <w:lang w:val="uk-UA"/>
        </w:rPr>
        <w:t>2. Абзацом дванадцятим частини першої статті 12 Закону в редакції проекту передбачено, що у</w:t>
      </w:r>
      <w:r w:rsidRPr="0004773B">
        <w:rPr>
          <w:rFonts w:cs="Times New Roman"/>
          <w:szCs w:val="28"/>
          <w:lang w:val="uk-UA"/>
        </w:rPr>
        <w:t xml:space="preserve"> цивільних справах, підсудних апеляційним судам, розташованим на території Автономної Республіки Крим та міста Севастополя, фізичні особи (учасники справи, а також особи, які не брали участі у справі, якщо суд вирішив питання про їхні права, свободи, інтереси та (або) обов’язки), які постійно проживають на тимчасово окупованій території, </w:t>
      </w:r>
      <w:r w:rsidRPr="0004773B">
        <w:rPr>
          <w:rFonts w:cs="Times New Roman"/>
          <w:szCs w:val="28"/>
          <w:u w:val="single"/>
          <w:lang w:val="uk-UA"/>
        </w:rPr>
        <w:t>мають право оскаржити рішення суду першої інстанції також у Херсонському апеляційному суді.</w:t>
      </w:r>
    </w:p>
    <w:p w:rsidR="0004773B" w:rsidRPr="0004773B" w:rsidRDefault="0004773B" w:rsidP="0004773B">
      <w:pPr>
        <w:pStyle w:val="aa"/>
        <w:ind w:firstLine="708"/>
        <w:jc w:val="both"/>
        <w:rPr>
          <w:rFonts w:cs="Times New Roman"/>
          <w:szCs w:val="28"/>
          <w:lang w:val="uk-UA"/>
        </w:rPr>
      </w:pPr>
      <w:r w:rsidRPr="0004773B">
        <w:rPr>
          <w:rFonts w:cs="Times New Roman"/>
          <w:szCs w:val="28"/>
          <w:lang w:val="uk-UA"/>
        </w:rPr>
        <w:t>Зазначений абзац викладено юридично некоректно, оскільки перелічені вище особи можуть оскаржити рішення суду першої інстанції до Херсонського апеляційного суду лише за умови, що судом першої інстанції був місцевий загальний суд, розташований у межах Херсонської області.</w:t>
      </w:r>
    </w:p>
    <w:p w:rsidR="0004773B" w:rsidRPr="0004773B" w:rsidRDefault="0004773B" w:rsidP="0004773B">
      <w:pPr>
        <w:pStyle w:val="aa"/>
        <w:ind w:firstLine="708"/>
        <w:jc w:val="both"/>
        <w:rPr>
          <w:rFonts w:cs="Times New Roman"/>
          <w:szCs w:val="28"/>
          <w:lang w:val="uk-UA"/>
        </w:rPr>
      </w:pPr>
      <w:r w:rsidRPr="0004773B">
        <w:rPr>
          <w:rFonts w:cs="Times New Roman"/>
          <w:szCs w:val="28"/>
          <w:lang w:val="uk-UA"/>
        </w:rPr>
        <w:t>Таким чином, зазначений абзац підлягає коригуванню.</w:t>
      </w:r>
    </w:p>
    <w:p w:rsidR="0004773B" w:rsidRPr="0004773B" w:rsidRDefault="0004773B" w:rsidP="0004773B">
      <w:pPr>
        <w:pStyle w:val="aa"/>
        <w:ind w:firstLine="708"/>
        <w:jc w:val="both"/>
        <w:rPr>
          <w:lang w:val="uk-UA"/>
        </w:rPr>
      </w:pPr>
      <w:r w:rsidRPr="0004773B">
        <w:rPr>
          <w:lang w:val="uk-UA"/>
        </w:rPr>
        <w:t>3. Проектом передбачені зміни до розділу II «Прикінцеві та перехідні положення» Закону України «Про забезпечення прав і свобод громадян та правовий режим на тимчасово окупованій території України», відповідно до яких зазначений розділ доповнюється пунктом 3</w:t>
      </w:r>
      <w:r w:rsidRPr="0004773B">
        <w:rPr>
          <w:vertAlign w:val="superscript"/>
          <w:lang w:val="uk-UA"/>
        </w:rPr>
        <w:t>2</w:t>
      </w:r>
      <w:r w:rsidRPr="0004773B">
        <w:rPr>
          <w:lang w:val="uk-UA"/>
        </w:rPr>
        <w:t xml:space="preserve"> такого змісту: </w:t>
      </w:r>
    </w:p>
    <w:p w:rsidR="0004773B" w:rsidRPr="0004773B" w:rsidRDefault="0004773B" w:rsidP="0004773B">
      <w:pPr>
        <w:pStyle w:val="aa"/>
        <w:ind w:firstLine="708"/>
        <w:jc w:val="both"/>
        <w:rPr>
          <w:lang w:val="uk-UA"/>
        </w:rPr>
      </w:pPr>
      <w:r w:rsidRPr="0004773B">
        <w:rPr>
          <w:lang w:val="uk-UA"/>
        </w:rPr>
        <w:t>« 3</w:t>
      </w:r>
      <w:r w:rsidRPr="0004773B">
        <w:rPr>
          <w:vertAlign w:val="superscript"/>
          <w:lang w:val="uk-UA"/>
        </w:rPr>
        <w:t>2</w:t>
      </w:r>
      <w:r w:rsidRPr="0004773B">
        <w:rPr>
          <w:lang w:val="uk-UA"/>
        </w:rPr>
        <w:t xml:space="preserve">. Положення абзаців десятого, одинадцятого і дванадцятого частини першої статті 12 цього Закону щодо альтернативної підсудності справ, учасники яких постійно проживають на тимчасово окупованій території Автономної Республіки Крим та міста Севастополя, </w:t>
      </w:r>
      <w:r w:rsidRPr="0004773B">
        <w:rPr>
          <w:u w:val="single"/>
          <w:lang w:val="uk-UA"/>
        </w:rPr>
        <w:t>не застосовуються до судових проваджень</w:t>
      </w:r>
      <w:r w:rsidRPr="0004773B">
        <w:rPr>
          <w:lang w:val="uk-UA"/>
        </w:rPr>
        <w:t>, відкритих до набрання чинності Законом України «Про внесення змін до Закону України «Про забезпечення прав і свобод громадян та правовий режим на тимчасово окупованій території України» щодо встановлення альтернативної підсудності справ, учасники яких проживають на тимчасово окупованій території Автономної Республіки Крим та міста Севастополя».</w:t>
      </w:r>
    </w:p>
    <w:p w:rsidR="0004773B" w:rsidRPr="0004773B" w:rsidRDefault="0004773B" w:rsidP="0004773B">
      <w:pPr>
        <w:pStyle w:val="aa"/>
        <w:ind w:firstLine="708"/>
        <w:jc w:val="both"/>
        <w:rPr>
          <w:rStyle w:val="ad"/>
          <w:rFonts w:cs="Times New Roman"/>
          <w:i w:val="0"/>
          <w:color w:val="000000"/>
          <w:szCs w:val="28"/>
          <w:lang w:val="uk-UA"/>
        </w:rPr>
      </w:pPr>
      <w:r w:rsidRPr="0004773B">
        <w:rPr>
          <w:lang w:val="uk-UA"/>
        </w:rPr>
        <w:t xml:space="preserve">Однак зазначене не враховує конституційних приписів статті 58 Основного Закону України та мотивувальної частини Рішення Конституційного Суду України </w:t>
      </w:r>
      <w:r w:rsidRPr="0004773B">
        <w:rPr>
          <w:rStyle w:val="ad"/>
          <w:rFonts w:cs="Times New Roman"/>
          <w:i w:val="0"/>
          <w:color w:val="000000"/>
          <w:szCs w:val="28"/>
          <w:lang w:val="uk-UA"/>
        </w:rPr>
        <w:t>про офіційне тлумачення статей 58, 78, 79, 81 Конституції України та статей 243-21, 243-22, 243-25 Цивільного процесуального кодексу України (у справі щодо несумісності депутатського мандата) від 13.05.1997</w:t>
      </w:r>
      <w:r w:rsidR="002C6F69">
        <w:rPr>
          <w:rStyle w:val="ad"/>
          <w:rFonts w:cs="Times New Roman"/>
          <w:i w:val="0"/>
          <w:color w:val="000000"/>
          <w:szCs w:val="28"/>
          <w:lang w:val="uk-UA"/>
        </w:rPr>
        <w:t xml:space="preserve"> №1-зп/1997, в якій </w:t>
      </w:r>
      <w:r w:rsidRPr="0004773B">
        <w:rPr>
          <w:rStyle w:val="af"/>
          <w:rFonts w:cs="Times New Roman"/>
          <w:b w:val="0"/>
          <w:iCs/>
          <w:szCs w:val="28"/>
          <w:lang w:val="uk-UA"/>
        </w:rPr>
        <w:t>зазначено, що</w:t>
      </w:r>
      <w:r w:rsidRPr="0004773B">
        <w:rPr>
          <w:rStyle w:val="af"/>
          <w:rFonts w:cs="Times New Roman"/>
          <w:iCs/>
          <w:szCs w:val="28"/>
          <w:lang w:val="uk-UA"/>
        </w:rPr>
        <w:t xml:space="preserve"> </w:t>
      </w:r>
      <w:r w:rsidRPr="0004773B">
        <w:rPr>
          <w:rStyle w:val="af"/>
          <w:rFonts w:cs="Times New Roman"/>
          <w:b w:val="0"/>
          <w:iCs/>
          <w:szCs w:val="28"/>
          <w:lang w:val="uk-UA"/>
        </w:rPr>
        <w:t>«С</w:t>
      </w:r>
      <w:r w:rsidRPr="0004773B">
        <w:rPr>
          <w:rFonts w:cs="Times New Roman"/>
          <w:lang w:val="uk-UA"/>
        </w:rPr>
        <w:t xml:space="preserve">таття 58 </w:t>
      </w:r>
      <w:r w:rsidRPr="0004773B">
        <w:rPr>
          <w:rFonts w:cs="Times New Roman"/>
          <w:lang w:val="uk-UA"/>
        </w:rPr>
        <w:lastRenderedPageBreak/>
        <w:t xml:space="preserve">Конституції України закріплює один з найважливіших загальновизнаних принципів сучасного права - закони та інші нормативно-правові акти не мають зворотної дії в часі. Це означає, </w:t>
      </w:r>
      <w:r w:rsidRPr="0004773B">
        <w:rPr>
          <w:rFonts w:cs="Times New Roman"/>
          <w:u w:val="single"/>
          <w:lang w:val="uk-UA"/>
        </w:rPr>
        <w:t>що вони поширюють свою дію тільки на ті відносини, які виникли після набуття законами чи іншими нормативно-правовими актами чинності.</w:t>
      </w:r>
      <w:r w:rsidRPr="0004773B">
        <w:rPr>
          <w:rFonts w:cs="Times New Roman"/>
          <w:lang w:val="uk-UA"/>
        </w:rPr>
        <w:t xml:space="preserve"> Закріплення названого принципу на конституційному рівні є гарантією стабільності суспільних відносин, у тому числі відносин між державою і громадянами, породжуючи у громадян впевненість у тому, що їхнє існуюче становище не буде погіршене прийняттям більш пізнього закону чи іншого нормативно-правового акта. Принцип незворотності дії в часі поширюється також на Конституцію, яка є Основним Законом держави (Преамбула Конституції України). Виняток з цього принципу допускається лише у випадках, коли закони та інші нормативно-правові акти пом'якшують або скасовують відповідальність особи (частина перша статті 58 Конституції України)» (</w:t>
      </w:r>
      <w:r w:rsidRPr="0004773B">
        <w:rPr>
          <w:rStyle w:val="ad"/>
          <w:rFonts w:cs="Times New Roman"/>
          <w:i w:val="0"/>
          <w:color w:val="000000"/>
          <w:szCs w:val="28"/>
          <w:lang w:val="uk-UA"/>
        </w:rPr>
        <w:t>абзаци перший-четвертий пункту 5 мотивувальної частини Рішення).</w:t>
      </w:r>
    </w:p>
    <w:p w:rsidR="0004773B" w:rsidRPr="0004773B" w:rsidRDefault="0004773B" w:rsidP="0004773B">
      <w:pPr>
        <w:pStyle w:val="aa"/>
        <w:ind w:firstLine="708"/>
        <w:jc w:val="both"/>
        <w:rPr>
          <w:rStyle w:val="ad"/>
          <w:i w:val="0"/>
          <w:color w:val="000000"/>
          <w:szCs w:val="28"/>
          <w:lang w:val="uk-UA"/>
        </w:rPr>
      </w:pPr>
      <w:r w:rsidRPr="0004773B">
        <w:rPr>
          <w:rStyle w:val="ad"/>
          <w:i w:val="0"/>
          <w:color w:val="000000"/>
          <w:szCs w:val="28"/>
          <w:lang w:val="uk-UA"/>
        </w:rPr>
        <w:t xml:space="preserve">З огляду на зазначене, запропоновані доповнення до розділу ІІ </w:t>
      </w:r>
      <w:r w:rsidRPr="0004773B">
        <w:rPr>
          <w:lang w:val="uk-UA"/>
        </w:rPr>
        <w:t>«Прикінцеві та перехідні положення» Закону</w:t>
      </w:r>
      <w:r w:rsidRPr="0004773B">
        <w:rPr>
          <w:rStyle w:val="ad"/>
          <w:i w:val="0"/>
          <w:color w:val="000000"/>
          <w:szCs w:val="28"/>
          <w:lang w:val="uk-UA"/>
        </w:rPr>
        <w:t xml:space="preserve"> можуть стати предметом розгляду Конституційного Суду України.</w:t>
      </w:r>
    </w:p>
    <w:p w:rsidR="0004773B" w:rsidRPr="0004773B" w:rsidRDefault="0004773B" w:rsidP="0004773B">
      <w:pPr>
        <w:pStyle w:val="aa"/>
        <w:ind w:firstLine="708"/>
        <w:jc w:val="both"/>
        <w:rPr>
          <w:rStyle w:val="ad"/>
          <w:i w:val="0"/>
          <w:color w:val="000000"/>
          <w:szCs w:val="28"/>
          <w:lang w:val="uk-UA"/>
        </w:rPr>
      </w:pPr>
      <w:r w:rsidRPr="0004773B">
        <w:rPr>
          <w:rStyle w:val="ad"/>
          <w:i w:val="0"/>
          <w:color w:val="000000"/>
          <w:szCs w:val="28"/>
          <w:lang w:val="uk-UA"/>
        </w:rPr>
        <w:t>Зважаючи на порушену проблему, варто було б передбачити перехідні положення до законопроекту, в яких зазначити, що суди, в провадженні яких до набрання чинності цим Законом (зокрема, Законом України «</w:t>
      </w:r>
      <w:r w:rsidRPr="0004773B">
        <w:rPr>
          <w:lang w:val="uk-UA"/>
        </w:rPr>
        <w:t xml:space="preserve">Про внесення змін до Закону України «Про забезпечення прав і свобод громадян та правовий режим на тимчасово окупованій території України» щодо встановлення альтернативної підсудності справ, учасники яких проживають на тимчасово окупованій території Автономної Республіки Крим та міста Севастополя») </w:t>
      </w:r>
      <w:r w:rsidRPr="0004773B">
        <w:rPr>
          <w:rStyle w:val="ad"/>
          <w:i w:val="0"/>
          <w:color w:val="000000"/>
          <w:szCs w:val="28"/>
          <w:lang w:val="uk-UA"/>
        </w:rPr>
        <w:t xml:space="preserve">знаходяться </w:t>
      </w:r>
      <w:r w:rsidRPr="0004773B">
        <w:rPr>
          <w:lang w:val="uk-UA"/>
        </w:rPr>
        <w:t>цивільні справи, підсудні місцевим загальним чи загальним апеляційним судам, розташованим на території Автономної Республіки Крим та міста Севастополя, розглядаються по суті та завершуються цими судами, відповідно</w:t>
      </w:r>
      <w:r w:rsidRPr="0004773B">
        <w:rPr>
          <w:rStyle w:val="ad"/>
          <w:i w:val="0"/>
          <w:color w:val="000000"/>
          <w:szCs w:val="28"/>
          <w:lang w:val="uk-UA"/>
        </w:rPr>
        <w:t xml:space="preserve"> до вже визначеної територіальної юрисдикції (підсудності).</w:t>
      </w:r>
    </w:p>
    <w:p w:rsidR="0004773B" w:rsidRPr="0004773B" w:rsidRDefault="0004773B" w:rsidP="0004773B">
      <w:pPr>
        <w:pStyle w:val="aa"/>
        <w:jc w:val="both"/>
        <w:rPr>
          <w:rStyle w:val="ad"/>
          <w:i w:val="0"/>
          <w:color w:val="000000"/>
          <w:szCs w:val="28"/>
          <w:lang w:val="uk-UA"/>
        </w:rPr>
      </w:pPr>
    </w:p>
    <w:p w:rsidR="0004773B" w:rsidRDefault="0004773B" w:rsidP="0004773B">
      <w:pPr>
        <w:pStyle w:val="aa"/>
        <w:ind w:firstLine="708"/>
        <w:jc w:val="both"/>
        <w:rPr>
          <w:rStyle w:val="ad"/>
          <w:i w:val="0"/>
          <w:color w:val="000000"/>
          <w:szCs w:val="28"/>
          <w:lang w:val="uk-UA"/>
        </w:rPr>
      </w:pPr>
      <w:r w:rsidRPr="0004773B">
        <w:rPr>
          <w:rFonts w:cs="Times New Roman"/>
          <w:b/>
          <w:lang w:val="uk-UA"/>
        </w:rPr>
        <w:t>Узагальнюючий</w:t>
      </w:r>
      <w:r w:rsidRPr="0004773B">
        <w:rPr>
          <w:rStyle w:val="ad"/>
          <w:b/>
          <w:i w:val="0"/>
          <w:color w:val="000000"/>
          <w:szCs w:val="28"/>
          <w:lang w:val="uk-UA"/>
        </w:rPr>
        <w:t xml:space="preserve"> висновок:</w:t>
      </w:r>
      <w:r w:rsidRPr="0004773B">
        <w:rPr>
          <w:rStyle w:val="ad"/>
          <w:i w:val="0"/>
          <w:color w:val="000000"/>
          <w:szCs w:val="28"/>
          <w:lang w:val="uk-UA"/>
        </w:rPr>
        <w:t xml:space="preserve"> проект потребує редакційного доопрацювання і може бути прийнятий за умови врахування висловлених зауважень та пропозицій.</w:t>
      </w:r>
    </w:p>
    <w:p w:rsidR="0004773B" w:rsidRPr="0004773B" w:rsidRDefault="0004773B" w:rsidP="0004773B">
      <w:pPr>
        <w:pStyle w:val="aa"/>
        <w:ind w:firstLine="708"/>
        <w:jc w:val="both"/>
        <w:rPr>
          <w:rStyle w:val="ad"/>
          <w:i w:val="0"/>
          <w:color w:val="000000"/>
          <w:szCs w:val="28"/>
          <w:lang w:val="uk-UA"/>
        </w:rPr>
      </w:pPr>
    </w:p>
    <w:p w:rsidR="00712714" w:rsidRPr="0004773B" w:rsidRDefault="006C2446" w:rsidP="0004773B">
      <w:pPr>
        <w:pStyle w:val="aa"/>
        <w:jc w:val="both"/>
        <w:rPr>
          <w:b/>
          <w:bCs/>
          <w:lang w:val="uk-UA"/>
        </w:rPr>
      </w:pPr>
      <w:r w:rsidRPr="0004773B">
        <w:rPr>
          <w:b/>
          <w:bCs/>
          <w:lang w:val="uk-UA"/>
        </w:rPr>
        <w:t>Перший заступник керівника</w:t>
      </w:r>
    </w:p>
    <w:p w:rsidR="002356E9" w:rsidRPr="0004773B" w:rsidRDefault="006C2446" w:rsidP="0004773B">
      <w:pPr>
        <w:pStyle w:val="aa"/>
        <w:jc w:val="both"/>
        <w:rPr>
          <w:b/>
          <w:lang w:val="uk-UA"/>
        </w:rPr>
      </w:pPr>
      <w:r w:rsidRPr="0004773B">
        <w:rPr>
          <w:b/>
          <w:bCs/>
          <w:lang w:val="uk-UA"/>
        </w:rPr>
        <w:t xml:space="preserve">Головного управління                                 </w:t>
      </w:r>
      <w:r w:rsidR="00712714" w:rsidRPr="0004773B">
        <w:rPr>
          <w:b/>
          <w:bCs/>
          <w:lang w:val="uk-UA"/>
        </w:rPr>
        <w:t xml:space="preserve">                   </w:t>
      </w:r>
      <w:r w:rsidRPr="0004773B">
        <w:rPr>
          <w:b/>
          <w:bCs/>
          <w:lang w:val="uk-UA"/>
        </w:rPr>
        <w:t xml:space="preserve">                А. НИЖНИК</w:t>
      </w:r>
    </w:p>
    <w:sectPr w:rsidR="002356E9" w:rsidRPr="0004773B" w:rsidSect="00634A7D">
      <w:headerReference w:type="default" r:id="rId8"/>
      <w:headerReference w:type="first" r:id="rId9"/>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0D72" w:rsidRDefault="00820D72" w:rsidP="005E306B">
      <w:pPr>
        <w:spacing w:after="0" w:line="240" w:lineRule="auto"/>
      </w:pPr>
      <w:r>
        <w:separator/>
      </w:r>
    </w:p>
  </w:endnote>
  <w:endnote w:type="continuationSeparator" w:id="0">
    <w:p w:rsidR="00820D72" w:rsidRDefault="00820D72"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altName w:val="Century Gothic"/>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0D72" w:rsidRDefault="00820D72" w:rsidP="005E306B">
      <w:pPr>
        <w:spacing w:after="0" w:line="240" w:lineRule="auto"/>
      </w:pPr>
      <w:r>
        <w:separator/>
      </w:r>
    </w:p>
  </w:footnote>
  <w:footnote w:type="continuationSeparator" w:id="0">
    <w:p w:rsidR="00820D72" w:rsidRDefault="00820D72"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0005942"/>
      <w:docPartObj>
        <w:docPartGallery w:val="Page Numbers (Top of Page)"/>
        <w:docPartUnique/>
      </w:docPartObj>
    </w:sdtPr>
    <w:sdtEndPr/>
    <w:sdtContent>
      <w:p w:rsidR="00687696" w:rsidRDefault="00687696">
        <w:pPr>
          <w:pStyle w:val="a3"/>
          <w:jc w:val="center"/>
        </w:pPr>
        <w:r>
          <w:fldChar w:fldCharType="begin"/>
        </w:r>
        <w:r>
          <w:instrText>PAGE   \* MERGEFORMAT</w:instrText>
        </w:r>
        <w:r>
          <w:fldChar w:fldCharType="separate"/>
        </w:r>
        <w:r w:rsidR="00F36B19" w:rsidRPr="00F36B19">
          <w:rPr>
            <w:noProof/>
            <w:lang w:val="uk-UA"/>
          </w:rPr>
          <w:t>3</w:t>
        </w:r>
        <w:r>
          <w:fldChar w:fldCharType="end"/>
        </w:r>
      </w:p>
    </w:sdtContent>
  </w:sdt>
  <w:p w:rsidR="00CE6A4B" w:rsidRDefault="00CE6A4B" w:rsidP="00AD7F82">
    <w:pPr>
      <w:pStyle w:val="a3"/>
      <w:tabs>
        <w:tab w:val="clear" w:pos="9355"/>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E0A18" w:rsidRDefault="005B71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E0A18">
            <w:rPr>
              <w:rFonts w:ascii="Times New Roman" w:hAnsi="Times New Roman"/>
              <w:color w:val="1829A8"/>
              <w:spacing w:val="20"/>
              <w:sz w:val="32"/>
              <w:szCs w:val="32"/>
              <w:lang w:val="uk-UA"/>
            </w:rPr>
            <w:t>АПАРАТ ВЕРХОВНОЇ РАДИ УКРАЇНИ</w:t>
          </w:r>
        </w:p>
        <w:p w:rsidR="00CE6A4B" w:rsidRPr="00A833C8" w:rsidRDefault="00F44513" w:rsidP="009A720A">
          <w:pPr>
            <w:pStyle w:val="a3"/>
            <w:tabs>
              <w:tab w:val="clear" w:pos="4677"/>
              <w:tab w:val="clear" w:pos="9355"/>
            </w:tabs>
            <w:spacing w:before="200"/>
            <w:jc w:val="center"/>
            <w:rPr>
              <w:rFonts w:ascii="Times New Roman" w:hAnsi="Times New Roman"/>
              <w:b/>
              <w:color w:val="1829A8"/>
              <w:spacing w:val="20"/>
              <w:sz w:val="24"/>
              <w:szCs w:val="24"/>
              <w:lang w:val="uk-UA"/>
            </w:rPr>
          </w:pPr>
          <w:r w:rsidRPr="00F44513">
            <w:rPr>
              <w:rFonts w:ascii="Times New Roman" w:hAnsi="Times New Roman"/>
              <w:b/>
              <w:color w:val="1829A8"/>
              <w:spacing w:val="20"/>
              <w:sz w:val="24"/>
              <w:szCs w:val="24"/>
              <w:lang w:val="uk-UA"/>
            </w:rPr>
            <w:t>Головне юридичне управління</w:t>
          </w:r>
        </w:p>
        <w:p w:rsidR="00C27AE9" w:rsidRPr="00A833C8" w:rsidRDefault="0080545D" w:rsidP="00F44513">
          <w:pPr>
            <w:pStyle w:val="a3"/>
            <w:tabs>
              <w:tab w:val="clear" w:pos="4677"/>
              <w:tab w:val="clear" w:pos="9355"/>
            </w:tabs>
            <w:spacing w:before="160" w:after="120"/>
            <w:jc w:val="center"/>
            <w:rPr>
              <w:color w:val="002060"/>
              <w:sz w:val="20"/>
              <w:szCs w:val="20"/>
              <w:lang w:val="uk-UA"/>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тел.:255-</w:t>
          </w:r>
          <w:r w:rsidR="00F44513">
            <w:rPr>
              <w:rFonts w:ascii="Times New Roman" w:hAnsi="Times New Roman"/>
              <w:color w:val="1829A8"/>
              <w:sz w:val="20"/>
              <w:szCs w:val="20"/>
              <w:lang w:val="uk-UA"/>
            </w:rPr>
            <w:t>20</w:t>
          </w:r>
          <w:r w:rsidR="00C27AE9" w:rsidRPr="00A833C8">
            <w:rPr>
              <w:rFonts w:ascii="Times New Roman" w:hAnsi="Times New Roman"/>
              <w:color w:val="1829A8"/>
              <w:sz w:val="20"/>
              <w:szCs w:val="20"/>
              <w:lang w:val="uk-UA"/>
            </w:rPr>
            <w:t>-</w:t>
          </w:r>
          <w:r w:rsidR="00F44513">
            <w:rPr>
              <w:rFonts w:ascii="Times New Roman" w:hAnsi="Times New Roman"/>
              <w:color w:val="1829A8"/>
              <w:sz w:val="20"/>
              <w:szCs w:val="20"/>
              <w:lang w:val="uk-UA"/>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9714" w:type="dxa"/>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1086"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AF6A87"/>
    <w:multiLevelType w:val="hybridMultilevel"/>
    <w:tmpl w:val="AA08849C"/>
    <w:lvl w:ilvl="0" w:tplc="2CB8D722">
      <w:start w:val="1"/>
      <w:numFmt w:val="decimal"/>
      <w:lvlText w:val="%1."/>
      <w:lvlJc w:val="left"/>
      <w:pPr>
        <w:ind w:left="1060" w:hanging="360"/>
      </w:pPr>
      <w:rPr>
        <w:rFonts w:hint="default"/>
      </w:rPr>
    </w:lvl>
    <w:lvl w:ilvl="1" w:tplc="04220019" w:tentative="1">
      <w:start w:val="1"/>
      <w:numFmt w:val="lowerLetter"/>
      <w:lvlText w:val="%2."/>
      <w:lvlJc w:val="left"/>
      <w:pPr>
        <w:ind w:left="1780" w:hanging="360"/>
      </w:pPr>
    </w:lvl>
    <w:lvl w:ilvl="2" w:tplc="0422001B" w:tentative="1">
      <w:start w:val="1"/>
      <w:numFmt w:val="lowerRoman"/>
      <w:lvlText w:val="%3."/>
      <w:lvlJc w:val="right"/>
      <w:pPr>
        <w:ind w:left="2500" w:hanging="180"/>
      </w:pPr>
    </w:lvl>
    <w:lvl w:ilvl="3" w:tplc="0422000F" w:tentative="1">
      <w:start w:val="1"/>
      <w:numFmt w:val="decimal"/>
      <w:lvlText w:val="%4."/>
      <w:lvlJc w:val="left"/>
      <w:pPr>
        <w:ind w:left="3220" w:hanging="360"/>
      </w:pPr>
    </w:lvl>
    <w:lvl w:ilvl="4" w:tplc="04220019" w:tentative="1">
      <w:start w:val="1"/>
      <w:numFmt w:val="lowerLetter"/>
      <w:lvlText w:val="%5."/>
      <w:lvlJc w:val="left"/>
      <w:pPr>
        <w:ind w:left="3940" w:hanging="360"/>
      </w:pPr>
    </w:lvl>
    <w:lvl w:ilvl="5" w:tplc="0422001B" w:tentative="1">
      <w:start w:val="1"/>
      <w:numFmt w:val="lowerRoman"/>
      <w:lvlText w:val="%6."/>
      <w:lvlJc w:val="right"/>
      <w:pPr>
        <w:ind w:left="4660" w:hanging="180"/>
      </w:pPr>
    </w:lvl>
    <w:lvl w:ilvl="6" w:tplc="0422000F" w:tentative="1">
      <w:start w:val="1"/>
      <w:numFmt w:val="decimal"/>
      <w:lvlText w:val="%7."/>
      <w:lvlJc w:val="left"/>
      <w:pPr>
        <w:ind w:left="5380" w:hanging="360"/>
      </w:pPr>
    </w:lvl>
    <w:lvl w:ilvl="7" w:tplc="04220019" w:tentative="1">
      <w:start w:val="1"/>
      <w:numFmt w:val="lowerLetter"/>
      <w:lvlText w:val="%8."/>
      <w:lvlJc w:val="left"/>
      <w:pPr>
        <w:ind w:left="6100" w:hanging="360"/>
      </w:pPr>
    </w:lvl>
    <w:lvl w:ilvl="8" w:tplc="0422001B" w:tentative="1">
      <w:start w:val="1"/>
      <w:numFmt w:val="lowerRoman"/>
      <w:lvlText w:val="%9."/>
      <w:lvlJc w:val="right"/>
      <w:pPr>
        <w:ind w:left="68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08"/>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0608"/>
    <w:rsid w:val="000163C3"/>
    <w:rsid w:val="000245AF"/>
    <w:rsid w:val="00035126"/>
    <w:rsid w:val="00044C10"/>
    <w:rsid w:val="0004773B"/>
    <w:rsid w:val="000B51A7"/>
    <w:rsid w:val="000B6CE8"/>
    <w:rsid w:val="000C2B42"/>
    <w:rsid w:val="000F1586"/>
    <w:rsid w:val="00124C58"/>
    <w:rsid w:val="00141617"/>
    <w:rsid w:val="001649E3"/>
    <w:rsid w:val="00167C3E"/>
    <w:rsid w:val="00182748"/>
    <w:rsid w:val="0019108F"/>
    <w:rsid w:val="001933FD"/>
    <w:rsid w:val="001966F0"/>
    <w:rsid w:val="001A4048"/>
    <w:rsid w:val="001A7036"/>
    <w:rsid w:val="001A7E37"/>
    <w:rsid w:val="001B5556"/>
    <w:rsid w:val="001D3C24"/>
    <w:rsid w:val="001D7AA6"/>
    <w:rsid w:val="001E4407"/>
    <w:rsid w:val="002356E9"/>
    <w:rsid w:val="00235CD7"/>
    <w:rsid w:val="00250746"/>
    <w:rsid w:val="0026631F"/>
    <w:rsid w:val="00290C62"/>
    <w:rsid w:val="002A5D4C"/>
    <w:rsid w:val="002B063F"/>
    <w:rsid w:val="002B5FC1"/>
    <w:rsid w:val="002C6811"/>
    <w:rsid w:val="002C68BD"/>
    <w:rsid w:val="002C6F69"/>
    <w:rsid w:val="002D0561"/>
    <w:rsid w:val="002D6107"/>
    <w:rsid w:val="002E0A18"/>
    <w:rsid w:val="002E31BF"/>
    <w:rsid w:val="002E44DA"/>
    <w:rsid w:val="002E6A28"/>
    <w:rsid w:val="002F403A"/>
    <w:rsid w:val="003266EA"/>
    <w:rsid w:val="00326B7D"/>
    <w:rsid w:val="00341371"/>
    <w:rsid w:val="00363EE3"/>
    <w:rsid w:val="00364252"/>
    <w:rsid w:val="003819C9"/>
    <w:rsid w:val="003C32CD"/>
    <w:rsid w:val="003D1CBA"/>
    <w:rsid w:val="003F2B62"/>
    <w:rsid w:val="0043346A"/>
    <w:rsid w:val="00451750"/>
    <w:rsid w:val="00464342"/>
    <w:rsid w:val="00480099"/>
    <w:rsid w:val="0049788C"/>
    <w:rsid w:val="004B329F"/>
    <w:rsid w:val="004C20F0"/>
    <w:rsid w:val="004D0E6A"/>
    <w:rsid w:val="004D2786"/>
    <w:rsid w:val="004D3D55"/>
    <w:rsid w:val="004E4F5C"/>
    <w:rsid w:val="004E6EB6"/>
    <w:rsid w:val="004F7B8A"/>
    <w:rsid w:val="0050620F"/>
    <w:rsid w:val="00542DC5"/>
    <w:rsid w:val="005439AD"/>
    <w:rsid w:val="0055005A"/>
    <w:rsid w:val="00555305"/>
    <w:rsid w:val="00560462"/>
    <w:rsid w:val="0056352F"/>
    <w:rsid w:val="005771F7"/>
    <w:rsid w:val="005951D4"/>
    <w:rsid w:val="005A4728"/>
    <w:rsid w:val="005A703F"/>
    <w:rsid w:val="005B71F5"/>
    <w:rsid w:val="005C688A"/>
    <w:rsid w:val="005C69F0"/>
    <w:rsid w:val="005E103B"/>
    <w:rsid w:val="005E306B"/>
    <w:rsid w:val="005F20B5"/>
    <w:rsid w:val="00626A3E"/>
    <w:rsid w:val="00634A7D"/>
    <w:rsid w:val="006414C9"/>
    <w:rsid w:val="00642E70"/>
    <w:rsid w:val="0066623D"/>
    <w:rsid w:val="00687696"/>
    <w:rsid w:val="00694E6C"/>
    <w:rsid w:val="00695E94"/>
    <w:rsid w:val="006B1BC0"/>
    <w:rsid w:val="006B2F22"/>
    <w:rsid w:val="006C2446"/>
    <w:rsid w:val="006C3DD5"/>
    <w:rsid w:val="006F10E8"/>
    <w:rsid w:val="006F4E2F"/>
    <w:rsid w:val="00712714"/>
    <w:rsid w:val="00713E93"/>
    <w:rsid w:val="0073224C"/>
    <w:rsid w:val="00746F07"/>
    <w:rsid w:val="00756ED1"/>
    <w:rsid w:val="00770EDD"/>
    <w:rsid w:val="00772E5D"/>
    <w:rsid w:val="0077551B"/>
    <w:rsid w:val="00775D17"/>
    <w:rsid w:val="00797EE2"/>
    <w:rsid w:val="007A088C"/>
    <w:rsid w:val="007C2985"/>
    <w:rsid w:val="007D3201"/>
    <w:rsid w:val="007E61C5"/>
    <w:rsid w:val="007F4B5E"/>
    <w:rsid w:val="007F5D91"/>
    <w:rsid w:val="008040FD"/>
    <w:rsid w:val="008048DC"/>
    <w:rsid w:val="0080545D"/>
    <w:rsid w:val="00805492"/>
    <w:rsid w:val="00820D72"/>
    <w:rsid w:val="008421BC"/>
    <w:rsid w:val="0084387F"/>
    <w:rsid w:val="0086748D"/>
    <w:rsid w:val="008717AD"/>
    <w:rsid w:val="008972B5"/>
    <w:rsid w:val="008A4FC5"/>
    <w:rsid w:val="008B543B"/>
    <w:rsid w:val="00945B68"/>
    <w:rsid w:val="00957D31"/>
    <w:rsid w:val="009659FE"/>
    <w:rsid w:val="009A720A"/>
    <w:rsid w:val="009B32FC"/>
    <w:rsid w:val="009B5480"/>
    <w:rsid w:val="009F3A3F"/>
    <w:rsid w:val="00A00059"/>
    <w:rsid w:val="00A3605F"/>
    <w:rsid w:val="00A46AE1"/>
    <w:rsid w:val="00A60CA4"/>
    <w:rsid w:val="00A67F41"/>
    <w:rsid w:val="00A833C8"/>
    <w:rsid w:val="00A93186"/>
    <w:rsid w:val="00AB28E6"/>
    <w:rsid w:val="00AD1CF9"/>
    <w:rsid w:val="00AD508C"/>
    <w:rsid w:val="00AD7F82"/>
    <w:rsid w:val="00B04E9F"/>
    <w:rsid w:val="00B11ED7"/>
    <w:rsid w:val="00B34ABC"/>
    <w:rsid w:val="00B617D3"/>
    <w:rsid w:val="00B7109B"/>
    <w:rsid w:val="00B770A4"/>
    <w:rsid w:val="00B97111"/>
    <w:rsid w:val="00BA1846"/>
    <w:rsid w:val="00BB558F"/>
    <w:rsid w:val="00BC7608"/>
    <w:rsid w:val="00BD0801"/>
    <w:rsid w:val="00BE3143"/>
    <w:rsid w:val="00BF1E95"/>
    <w:rsid w:val="00BF62D6"/>
    <w:rsid w:val="00C11FB6"/>
    <w:rsid w:val="00C16BE1"/>
    <w:rsid w:val="00C21EE5"/>
    <w:rsid w:val="00C27AE9"/>
    <w:rsid w:val="00C51E10"/>
    <w:rsid w:val="00C51F0A"/>
    <w:rsid w:val="00C75043"/>
    <w:rsid w:val="00CC39A1"/>
    <w:rsid w:val="00CD4A38"/>
    <w:rsid w:val="00CE3E1B"/>
    <w:rsid w:val="00CE6A4B"/>
    <w:rsid w:val="00D242C2"/>
    <w:rsid w:val="00D52392"/>
    <w:rsid w:val="00D57E1B"/>
    <w:rsid w:val="00DA0B23"/>
    <w:rsid w:val="00DB6065"/>
    <w:rsid w:val="00DD6C75"/>
    <w:rsid w:val="00DF39A3"/>
    <w:rsid w:val="00DF665C"/>
    <w:rsid w:val="00E03D2F"/>
    <w:rsid w:val="00E066E5"/>
    <w:rsid w:val="00E32E31"/>
    <w:rsid w:val="00E4792E"/>
    <w:rsid w:val="00E50354"/>
    <w:rsid w:val="00E53C62"/>
    <w:rsid w:val="00E53D46"/>
    <w:rsid w:val="00E53D96"/>
    <w:rsid w:val="00E772FF"/>
    <w:rsid w:val="00E9359E"/>
    <w:rsid w:val="00EB015F"/>
    <w:rsid w:val="00EB397E"/>
    <w:rsid w:val="00ED60C1"/>
    <w:rsid w:val="00F01A33"/>
    <w:rsid w:val="00F046FE"/>
    <w:rsid w:val="00F11A81"/>
    <w:rsid w:val="00F161CB"/>
    <w:rsid w:val="00F36B19"/>
    <w:rsid w:val="00F44513"/>
    <w:rsid w:val="00F55423"/>
    <w:rsid w:val="00F625C4"/>
    <w:rsid w:val="00F91DD3"/>
    <w:rsid w:val="00FA38EC"/>
    <w:rsid w:val="00FC3DF4"/>
    <w:rsid w:val="00FD47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4817"/>
    <o:shapelayout v:ext="edit">
      <o:idmap v:ext="edit" data="1"/>
    </o:shapelayout>
  </w:shapeDefaults>
  <w:decimalSymbol w:val=","/>
  <w:listSeparator w:val=";"/>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
    <w:name w:val="heading 1"/>
    <w:basedOn w:val="a"/>
    <w:next w:val="a"/>
    <w:link w:val="10"/>
    <w:qFormat/>
    <w:locked/>
    <w:rsid w:val="0025074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customStyle="1" w:styleId="st42">
    <w:name w:val="st42"/>
    <w:uiPriority w:val="99"/>
    <w:rsid w:val="002356E9"/>
    <w:rPr>
      <w:rFonts w:ascii="Times New Roman" w:hAnsi="Times New Roman" w:cs="Times New Roman"/>
      <w:color w:val="000000"/>
      <w:sz w:val="34"/>
      <w:szCs w:val="34"/>
    </w:rPr>
  </w:style>
  <w:style w:type="paragraph" w:customStyle="1" w:styleId="st2">
    <w:name w:val="st2"/>
    <w:uiPriority w:val="99"/>
    <w:rsid w:val="002356E9"/>
    <w:pPr>
      <w:autoSpaceDE w:val="0"/>
      <w:autoSpaceDN w:val="0"/>
      <w:adjustRightInd w:val="0"/>
      <w:spacing w:after="120"/>
      <w:ind w:firstLine="360"/>
      <w:jc w:val="both"/>
    </w:pPr>
    <w:rPr>
      <w:rFonts w:ascii="Courier New" w:hAnsi="Courier New" w:cs="Courier New"/>
      <w:sz w:val="24"/>
      <w:szCs w:val="24"/>
      <w:lang w:val="ru-RU"/>
    </w:rPr>
  </w:style>
  <w:style w:type="paragraph" w:styleId="aa">
    <w:name w:val="No Spacing"/>
    <w:uiPriority w:val="1"/>
    <w:qFormat/>
    <w:rsid w:val="002356E9"/>
    <w:rPr>
      <w:rFonts w:ascii="Times New Roman" w:eastAsiaTheme="minorHAnsi" w:hAnsi="Times New Roman" w:cstheme="minorBidi"/>
      <w:sz w:val="28"/>
      <w:lang w:val="ru-RU"/>
    </w:rPr>
  </w:style>
  <w:style w:type="character" w:customStyle="1" w:styleId="st161">
    <w:name w:val="st161"/>
    <w:uiPriority w:val="99"/>
    <w:rsid w:val="002356E9"/>
    <w:rPr>
      <w:rFonts w:ascii="Times New Roman" w:hAnsi="Times New Roman" w:cs="Times New Roman"/>
      <w:b/>
      <w:bCs/>
      <w:color w:val="000000"/>
      <w:sz w:val="38"/>
      <w:szCs w:val="38"/>
    </w:rPr>
  </w:style>
  <w:style w:type="character" w:customStyle="1" w:styleId="rvts0">
    <w:name w:val="rvts0"/>
    <w:qFormat/>
    <w:rsid w:val="006C2446"/>
  </w:style>
  <w:style w:type="character" w:customStyle="1" w:styleId="st24">
    <w:name w:val="st24"/>
    <w:uiPriority w:val="99"/>
    <w:rsid w:val="006C2446"/>
    <w:rPr>
      <w:rFonts w:ascii="Times New Roman" w:hAnsi="Times New Roman" w:cs="Times New Roman"/>
      <w:b/>
      <w:bCs/>
      <w:color w:val="000000"/>
      <w:sz w:val="32"/>
      <w:szCs w:val="32"/>
    </w:rPr>
  </w:style>
  <w:style w:type="character" w:customStyle="1" w:styleId="st44">
    <w:name w:val="st44"/>
    <w:uiPriority w:val="99"/>
    <w:rsid w:val="006C2446"/>
    <w:rPr>
      <w:rFonts w:ascii="Times New Roman" w:hAnsi="Times New Roman" w:cs="Times New Roman"/>
      <w:b/>
      <w:bCs/>
      <w:color w:val="000000"/>
    </w:rPr>
  </w:style>
  <w:style w:type="paragraph" w:customStyle="1" w:styleId="ab">
    <w:name w:val="Нормальний текст"/>
    <w:basedOn w:val="a"/>
    <w:rsid w:val="008717AD"/>
    <w:pPr>
      <w:spacing w:before="120" w:after="0" w:line="240" w:lineRule="auto"/>
      <w:ind w:firstLine="567"/>
      <w:jc w:val="both"/>
    </w:pPr>
    <w:rPr>
      <w:rFonts w:ascii="Antiqua" w:eastAsia="Times New Roman" w:hAnsi="Antiqua"/>
      <w:sz w:val="26"/>
      <w:szCs w:val="20"/>
      <w:lang w:val="uk-UA" w:eastAsia="ru-RU"/>
    </w:rPr>
  </w:style>
  <w:style w:type="paragraph" w:customStyle="1" w:styleId="st9">
    <w:name w:val="st9"/>
    <w:uiPriority w:val="99"/>
    <w:rsid w:val="00DF39A3"/>
    <w:pPr>
      <w:autoSpaceDE w:val="0"/>
      <w:autoSpaceDN w:val="0"/>
      <w:adjustRightInd w:val="0"/>
      <w:spacing w:after="150"/>
      <w:ind w:left="90"/>
    </w:pPr>
    <w:rPr>
      <w:rFonts w:ascii="Courier New" w:hAnsi="Courier New" w:cs="Courier New"/>
      <w:sz w:val="24"/>
      <w:szCs w:val="24"/>
      <w:lang w:val="ru-RU"/>
    </w:rPr>
  </w:style>
  <w:style w:type="paragraph" w:customStyle="1" w:styleId="rtejustify">
    <w:name w:val="rtejustify"/>
    <w:basedOn w:val="a"/>
    <w:rsid w:val="00C75043"/>
    <w:pPr>
      <w:spacing w:before="100" w:beforeAutospacing="1" w:after="100" w:afterAutospacing="1" w:line="240" w:lineRule="auto"/>
    </w:pPr>
    <w:rPr>
      <w:rFonts w:ascii="Times New Roman" w:eastAsia="Times New Roman" w:hAnsi="Times New Roman"/>
      <w:sz w:val="24"/>
      <w:szCs w:val="24"/>
      <w:lang w:val="uk-UA" w:eastAsia="uk-UA"/>
    </w:rPr>
  </w:style>
  <w:style w:type="character" w:styleId="ac">
    <w:name w:val="Hyperlink"/>
    <w:basedOn w:val="a0"/>
    <w:uiPriority w:val="99"/>
    <w:semiHidden/>
    <w:unhideWhenUsed/>
    <w:rsid w:val="00C75043"/>
    <w:rPr>
      <w:color w:val="0000FF"/>
      <w:u w:val="single"/>
    </w:rPr>
  </w:style>
  <w:style w:type="paragraph" w:customStyle="1" w:styleId="StyleZakonu">
    <w:name w:val="StyleZakonu"/>
    <w:basedOn w:val="a"/>
    <w:rsid w:val="00250746"/>
    <w:pPr>
      <w:spacing w:after="60" w:line="220" w:lineRule="exact"/>
      <w:ind w:firstLine="284"/>
      <w:jc w:val="both"/>
    </w:pPr>
    <w:rPr>
      <w:rFonts w:ascii="Times New Roman" w:eastAsia="Times New Roman" w:hAnsi="Times New Roman"/>
      <w:sz w:val="20"/>
      <w:szCs w:val="20"/>
      <w:lang w:val="uk-UA" w:eastAsia="ru-RU"/>
    </w:rPr>
  </w:style>
  <w:style w:type="character" w:styleId="ad">
    <w:name w:val="Emphasis"/>
    <w:basedOn w:val="a0"/>
    <w:uiPriority w:val="20"/>
    <w:qFormat/>
    <w:locked/>
    <w:rsid w:val="00250746"/>
    <w:rPr>
      <w:i/>
      <w:iCs/>
    </w:rPr>
  </w:style>
  <w:style w:type="character" w:customStyle="1" w:styleId="10">
    <w:name w:val="Заголовок 1 Знак"/>
    <w:basedOn w:val="a0"/>
    <w:link w:val="1"/>
    <w:rsid w:val="00250746"/>
    <w:rPr>
      <w:rFonts w:asciiTheme="majorHAnsi" w:eastAsiaTheme="majorEastAsia" w:hAnsiTheme="majorHAnsi" w:cstheme="majorBidi"/>
      <w:color w:val="365F91" w:themeColor="accent1" w:themeShade="BF"/>
      <w:sz w:val="32"/>
      <w:szCs w:val="32"/>
      <w:lang w:val="ru-RU"/>
    </w:rPr>
  </w:style>
  <w:style w:type="paragraph" w:styleId="ae">
    <w:name w:val="Normal (Web)"/>
    <w:basedOn w:val="a"/>
    <w:unhideWhenUsed/>
    <w:rsid w:val="005E103B"/>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rvts23">
    <w:name w:val="rvts23"/>
    <w:basedOn w:val="a0"/>
    <w:rsid w:val="0004773B"/>
  </w:style>
  <w:style w:type="character" w:styleId="af">
    <w:name w:val="Strong"/>
    <w:basedOn w:val="a0"/>
    <w:uiPriority w:val="22"/>
    <w:qFormat/>
    <w:locked/>
    <w:rsid w:val="0004773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F33616-81ED-433C-B5A3-1EBDE3816D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1664</Words>
  <Characters>11307</Characters>
  <Application>Microsoft Office Word</Application>
  <DocSecurity>0</DocSecurity>
  <Lines>94</Lines>
  <Paragraphs>25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Дячук Олена Миколаївна</cp:lastModifiedBy>
  <cp:revision>2</cp:revision>
  <cp:lastPrinted>2020-07-10T09:09:00Z</cp:lastPrinted>
  <dcterms:created xsi:type="dcterms:W3CDTF">2021-01-11T14:01:00Z</dcterms:created>
  <dcterms:modified xsi:type="dcterms:W3CDTF">2021-01-11T14:01:00Z</dcterms:modified>
</cp:coreProperties>
</file>