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103" w:rsidRPr="00974783" w:rsidRDefault="00FD6103" w:rsidP="00922EAE">
      <w:pPr>
        <w:ind w:firstLine="709"/>
        <w:jc w:val="center"/>
        <w:rPr>
          <w:sz w:val="28"/>
        </w:rPr>
      </w:pPr>
    </w:p>
    <w:p w:rsidR="00FD6103" w:rsidRPr="00974783" w:rsidRDefault="00FD6103" w:rsidP="00922EAE">
      <w:pPr>
        <w:ind w:firstLine="709"/>
        <w:jc w:val="center"/>
        <w:rPr>
          <w:sz w:val="28"/>
        </w:rPr>
      </w:pPr>
    </w:p>
    <w:p w:rsidR="00FD6103" w:rsidRPr="00974783" w:rsidRDefault="00FD6103" w:rsidP="00922EAE">
      <w:pPr>
        <w:ind w:firstLine="709"/>
        <w:jc w:val="center"/>
        <w:rPr>
          <w:sz w:val="28"/>
        </w:rPr>
      </w:pPr>
    </w:p>
    <w:p w:rsidR="00922EAE" w:rsidRPr="00974783" w:rsidRDefault="00922EAE" w:rsidP="00922EAE">
      <w:pPr>
        <w:jc w:val="center"/>
        <w:rPr>
          <w:sz w:val="28"/>
        </w:rPr>
      </w:pPr>
    </w:p>
    <w:p w:rsidR="00922EAE" w:rsidRPr="00974783" w:rsidRDefault="00922EAE" w:rsidP="00922EAE">
      <w:pPr>
        <w:jc w:val="center"/>
        <w:rPr>
          <w:sz w:val="28"/>
        </w:rPr>
      </w:pPr>
    </w:p>
    <w:p w:rsidR="00922EAE" w:rsidRPr="00974783" w:rsidRDefault="00922EAE" w:rsidP="00922EAE">
      <w:pPr>
        <w:jc w:val="center"/>
        <w:rPr>
          <w:sz w:val="28"/>
        </w:rPr>
      </w:pPr>
    </w:p>
    <w:p w:rsidR="00922EAE" w:rsidRPr="00974783" w:rsidRDefault="00922EAE" w:rsidP="00922EAE">
      <w:pPr>
        <w:jc w:val="center"/>
        <w:rPr>
          <w:sz w:val="28"/>
        </w:rPr>
      </w:pPr>
    </w:p>
    <w:p w:rsidR="00974783" w:rsidRPr="00974783" w:rsidRDefault="00974783" w:rsidP="00974783">
      <w:pPr>
        <w:jc w:val="center"/>
        <w:rPr>
          <w:b/>
          <w:sz w:val="28"/>
        </w:rPr>
      </w:pPr>
    </w:p>
    <w:p w:rsidR="00922EAE" w:rsidRPr="00974783" w:rsidRDefault="00974783" w:rsidP="00922EAE">
      <w:pPr>
        <w:jc w:val="center"/>
        <w:rPr>
          <w:sz w:val="28"/>
        </w:rPr>
      </w:pPr>
      <w:r>
        <w:rPr>
          <w:b/>
          <w:sz w:val="28"/>
        </w:rPr>
        <w:t>З А К О Н   У К Р А Ї Н И</w:t>
      </w:r>
    </w:p>
    <w:p w:rsidR="00922EAE" w:rsidRPr="00974783" w:rsidRDefault="00922EAE" w:rsidP="00922EAE">
      <w:pPr>
        <w:jc w:val="center"/>
        <w:rPr>
          <w:sz w:val="28"/>
        </w:rPr>
      </w:pPr>
    </w:p>
    <w:p w:rsidR="00922EAE" w:rsidRPr="00974783" w:rsidRDefault="00922EAE" w:rsidP="00922EAE">
      <w:pPr>
        <w:jc w:val="center"/>
        <w:rPr>
          <w:sz w:val="28"/>
        </w:rPr>
      </w:pPr>
    </w:p>
    <w:p w:rsidR="00922EAE" w:rsidRPr="00974783" w:rsidRDefault="00922EAE" w:rsidP="00922EAE">
      <w:pPr>
        <w:jc w:val="center"/>
        <w:rPr>
          <w:sz w:val="28"/>
        </w:rPr>
      </w:pPr>
    </w:p>
    <w:p w:rsidR="00722538" w:rsidRPr="00974783" w:rsidRDefault="00722538" w:rsidP="00974783">
      <w:pPr>
        <w:jc w:val="center"/>
        <w:rPr>
          <w:sz w:val="28"/>
        </w:rPr>
      </w:pPr>
      <w:r w:rsidRPr="00974783">
        <w:rPr>
          <w:sz w:val="28"/>
        </w:rPr>
        <w:t xml:space="preserve">Про внесення змін до статті 12 Закону України </w:t>
      </w:r>
      <w:r w:rsidR="00922EAE" w:rsidRPr="00974783">
        <w:rPr>
          <w:sz w:val="28"/>
        </w:rPr>
        <w:t>"</w:t>
      </w:r>
      <w:r w:rsidRPr="00974783">
        <w:rPr>
          <w:sz w:val="28"/>
        </w:rPr>
        <w:t xml:space="preserve">Про забезпечення прав </w:t>
      </w:r>
      <w:r w:rsidR="00974783">
        <w:rPr>
          <w:sz w:val="28"/>
        </w:rPr>
        <w:br/>
      </w:r>
      <w:r w:rsidRPr="00974783">
        <w:rPr>
          <w:sz w:val="28"/>
        </w:rPr>
        <w:t xml:space="preserve">і свобод громадян та правовий режим на тимчасово окупованій </w:t>
      </w:r>
      <w:r w:rsidR="005329D9" w:rsidRPr="00974783">
        <w:rPr>
          <w:sz w:val="28"/>
        </w:rPr>
        <w:br/>
        <w:t xml:space="preserve">  </w:t>
      </w:r>
      <w:r w:rsidRPr="00974783">
        <w:rPr>
          <w:sz w:val="28"/>
        </w:rPr>
        <w:t>території України</w:t>
      </w:r>
      <w:r w:rsidR="00922EAE" w:rsidRPr="00974783">
        <w:rPr>
          <w:sz w:val="28"/>
        </w:rPr>
        <w:t>"</w:t>
      </w:r>
      <w:r w:rsidRPr="00974783">
        <w:rPr>
          <w:sz w:val="28"/>
        </w:rPr>
        <w:t xml:space="preserve"> щодо встановлення альтернативної підсудності справ, учасники яких постійно проживають на тимчасово окупованій </w:t>
      </w:r>
      <w:r w:rsidR="005329D9" w:rsidRPr="00974783">
        <w:rPr>
          <w:sz w:val="28"/>
        </w:rPr>
        <w:t xml:space="preserve"> </w:t>
      </w:r>
      <w:r w:rsidR="005329D9" w:rsidRPr="00974783">
        <w:rPr>
          <w:sz w:val="28"/>
        </w:rPr>
        <w:br/>
        <w:t xml:space="preserve">      </w:t>
      </w:r>
      <w:r w:rsidRPr="00974783">
        <w:rPr>
          <w:sz w:val="28"/>
        </w:rPr>
        <w:t>території Автономної Республіки Крим та міста Севастополя</w:t>
      </w:r>
    </w:p>
    <w:p w:rsidR="00922EAE" w:rsidRPr="00974783" w:rsidRDefault="005329D9" w:rsidP="00922EAE">
      <w:pPr>
        <w:ind w:firstLine="709"/>
        <w:jc w:val="center"/>
        <w:rPr>
          <w:sz w:val="28"/>
        </w:rPr>
      </w:pPr>
      <w:r w:rsidRPr="00974783">
        <w:rPr>
          <w:noProof/>
          <w:sz w:val="28"/>
          <w:lang w:eastAsia="uk-UA"/>
        </w:rPr>
        <mc:AlternateContent>
          <mc:Choice Requires="wps">
            <w:drawing>
              <wp:anchor distT="0" distB="0" distL="114300" distR="114300" simplePos="0" relativeHeight="251659264" behindDoc="0" locked="0" layoutInCell="1" allowOverlap="1">
                <wp:simplePos x="0" y="0"/>
                <wp:positionH relativeFrom="column">
                  <wp:posOffset>226695</wp:posOffset>
                </wp:positionH>
                <wp:positionV relativeFrom="paragraph">
                  <wp:posOffset>25400</wp:posOffset>
                </wp:positionV>
                <wp:extent cx="5580000" cy="0"/>
                <wp:effectExtent l="0" t="0" r="2095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5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FA030"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5pt,2pt" to="457.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" strokecolor="black [3200]" strokeweight=".5pt">
                <v:stroke joinstyle="miter"/>
              </v:line>
            </w:pict>
          </mc:Fallback>
        </mc:AlternateContent>
      </w:r>
    </w:p>
    <w:p w:rsidR="00722538" w:rsidRPr="00974783" w:rsidRDefault="00722538" w:rsidP="00922EAE">
      <w:pPr>
        <w:ind w:firstLine="709"/>
        <w:jc w:val="center"/>
        <w:rPr>
          <w:sz w:val="28"/>
        </w:rPr>
      </w:pPr>
    </w:p>
    <w:p w:rsidR="00922EAE" w:rsidRPr="00974783" w:rsidRDefault="00922EAE" w:rsidP="00922EAE">
      <w:pPr>
        <w:ind w:firstLine="709"/>
        <w:jc w:val="center"/>
        <w:rPr>
          <w:sz w:val="28"/>
        </w:rPr>
      </w:pPr>
    </w:p>
    <w:p w:rsidR="00722538" w:rsidRPr="00974783" w:rsidRDefault="00722538" w:rsidP="00922EAE">
      <w:pPr>
        <w:ind w:firstLine="709"/>
        <w:jc w:val="both"/>
        <w:rPr>
          <w:sz w:val="28"/>
        </w:rPr>
      </w:pPr>
      <w:r w:rsidRPr="00974783">
        <w:rPr>
          <w:sz w:val="28"/>
        </w:rPr>
        <w:t xml:space="preserve">Верховна Рада України </w:t>
      </w:r>
      <w:r w:rsidR="00922EAE" w:rsidRPr="00974783">
        <w:rPr>
          <w:sz w:val="28"/>
        </w:rPr>
        <w:t xml:space="preserve">  </w:t>
      </w:r>
      <w:r w:rsidRPr="00974783">
        <w:rPr>
          <w:sz w:val="28"/>
        </w:rPr>
        <w:t>п о с т а н о в л я є</w:t>
      </w:r>
      <w:r w:rsidR="00922EAE" w:rsidRPr="00974783">
        <w:rPr>
          <w:sz w:val="28"/>
        </w:rPr>
        <w:t xml:space="preserve"> </w:t>
      </w:r>
      <w:r w:rsidRPr="00974783">
        <w:rPr>
          <w:sz w:val="28"/>
        </w:rPr>
        <w:t>:</w:t>
      </w:r>
    </w:p>
    <w:p w:rsidR="00922EAE" w:rsidRPr="00974783" w:rsidRDefault="00922EAE" w:rsidP="00922EAE">
      <w:pPr>
        <w:ind w:firstLine="709"/>
        <w:jc w:val="both"/>
        <w:rPr>
          <w:sz w:val="28"/>
        </w:rPr>
      </w:pPr>
    </w:p>
    <w:p w:rsidR="00722538" w:rsidRPr="00974783" w:rsidRDefault="00722538" w:rsidP="00922EAE">
      <w:pPr>
        <w:spacing w:after="120"/>
        <w:ind w:firstLine="709"/>
        <w:jc w:val="both"/>
        <w:rPr>
          <w:sz w:val="28"/>
        </w:rPr>
      </w:pPr>
      <w:r w:rsidRPr="00974783">
        <w:rPr>
          <w:sz w:val="28"/>
        </w:rPr>
        <w:t>І. Частину першу статті 12 Закону України "Про забезпечення прав і свобод громадян та правовий режим на тимчасово окупованій території України" (Відомості Верховної Ради України, 2014 р., №</w:t>
      </w:r>
      <w:r w:rsidR="00922EAE" w:rsidRPr="00974783">
        <w:rPr>
          <w:sz w:val="28"/>
        </w:rPr>
        <w:t xml:space="preserve"> </w:t>
      </w:r>
      <w:r w:rsidRPr="00974783">
        <w:rPr>
          <w:sz w:val="28"/>
        </w:rPr>
        <w:t>26, ст. 892 із наступними змінами) після абзацу десятого доповнити трьома новими абзацами такого змісту:</w:t>
      </w:r>
    </w:p>
    <w:p w:rsidR="00722538" w:rsidRPr="00974783" w:rsidRDefault="00922EAE" w:rsidP="00922EAE">
      <w:pPr>
        <w:spacing w:after="120"/>
        <w:ind w:firstLine="709"/>
        <w:jc w:val="both"/>
        <w:rPr>
          <w:sz w:val="28"/>
        </w:rPr>
      </w:pPr>
      <w:r w:rsidRPr="00974783">
        <w:rPr>
          <w:sz w:val="28"/>
        </w:rPr>
        <w:t>"</w:t>
      </w:r>
      <w:r w:rsidR="00722538" w:rsidRPr="00974783">
        <w:rPr>
          <w:sz w:val="28"/>
        </w:rPr>
        <w:t>У цивільних справах, підсудних місцевим загальним судам, розташованим на території Автономної Республіки Крим та міста Севастополя, позовні заяви, заяви про видачу судового наказу, заяви у справах окремого провадження можуть також пред</w:t>
      </w:r>
      <w:r w:rsidRPr="00974783">
        <w:rPr>
          <w:sz w:val="28"/>
        </w:rPr>
        <w:t>’</w:t>
      </w:r>
      <w:r w:rsidR="00722538" w:rsidRPr="00974783">
        <w:rPr>
          <w:sz w:val="28"/>
        </w:rPr>
        <w:t>являтися фізичною особою, яка постійно проживає на тимчасово окупованій території, до місцевого загального суду, розташованого в межах Херсонської області, за вибором особи.</w:t>
      </w:r>
    </w:p>
    <w:p w:rsidR="00722538" w:rsidRPr="00974783" w:rsidRDefault="00722538" w:rsidP="00922EAE">
      <w:pPr>
        <w:spacing w:after="120"/>
        <w:ind w:firstLine="709"/>
        <w:jc w:val="both"/>
        <w:rPr>
          <w:sz w:val="28"/>
        </w:rPr>
      </w:pPr>
      <w:r w:rsidRPr="00974783">
        <w:rPr>
          <w:sz w:val="28"/>
        </w:rPr>
        <w:t xml:space="preserve">Після відкриття провадження в цивільних справах, підсудних місцевим загальним судам, розташованим на території Автономної Республіки Крим та міста Севастополя, до моменту розгляду справи по суті фізична особа (відповідач, боржник, заінтересована особа, третя особа), яка постійно проживає на тимчасово окупованій території, може подати клопотання до визначеного місцевого загального суду міста Києва, у провадженні якого знаходиться справа, про передачу такої справи до місцевого загального суду, розташованого в межах Херсонської області, за вибором особи. У разі подання такого клопотання справа може бути передана до визначеного особою місцевого загального суду, розташованого в межах Херсонської області, на </w:t>
      </w:r>
      <w:r w:rsidRPr="00974783">
        <w:rPr>
          <w:sz w:val="28"/>
        </w:rPr>
        <w:lastRenderedPageBreak/>
        <w:t>підставі ухвали суду не пізніше п</w:t>
      </w:r>
      <w:r w:rsidR="00922EAE" w:rsidRPr="00974783">
        <w:rPr>
          <w:sz w:val="28"/>
        </w:rPr>
        <w:t>’</w:t>
      </w:r>
      <w:r w:rsidRPr="00974783">
        <w:rPr>
          <w:sz w:val="28"/>
        </w:rPr>
        <w:t xml:space="preserve">яти днів після закінчення строку на її оскарження, а в разі подання скарги </w:t>
      </w:r>
      <w:r w:rsidR="00922EAE" w:rsidRPr="00974783">
        <w:rPr>
          <w:spacing w:val="-2"/>
          <w:sz w:val="28"/>
          <w:szCs w:val="28"/>
        </w:rPr>
        <w:sym w:font="Symbol" w:char="F02D"/>
      </w:r>
      <w:r w:rsidRPr="00974783">
        <w:rPr>
          <w:sz w:val="28"/>
        </w:rPr>
        <w:t xml:space="preserve"> не пізніше п</w:t>
      </w:r>
      <w:r w:rsidR="00922EAE" w:rsidRPr="00974783">
        <w:rPr>
          <w:sz w:val="28"/>
        </w:rPr>
        <w:t>’</w:t>
      </w:r>
      <w:r w:rsidRPr="00974783">
        <w:rPr>
          <w:sz w:val="28"/>
        </w:rPr>
        <w:t>яти днів після залишення її без задоволення. Повторна передача справи не допускається.</w:t>
      </w:r>
    </w:p>
    <w:p w:rsidR="00722538" w:rsidRPr="00974783" w:rsidRDefault="00722538" w:rsidP="00922EAE">
      <w:pPr>
        <w:spacing w:after="120"/>
        <w:ind w:firstLine="709"/>
        <w:jc w:val="both"/>
        <w:rPr>
          <w:sz w:val="28"/>
        </w:rPr>
      </w:pPr>
      <w:r w:rsidRPr="00974783">
        <w:rPr>
          <w:sz w:val="28"/>
        </w:rPr>
        <w:t>Фізична особа (учасник справи, а також особа, яка не брала участі у справі, якщо суд вирішив питання про її права, свободи, інтереси та/або обов</w:t>
      </w:r>
      <w:r w:rsidR="00922EAE" w:rsidRPr="00974783">
        <w:rPr>
          <w:sz w:val="28"/>
        </w:rPr>
        <w:t>’</w:t>
      </w:r>
      <w:r w:rsidRPr="00974783">
        <w:rPr>
          <w:sz w:val="28"/>
        </w:rPr>
        <w:t>язки), яка постійно проживає на тимчасово окупованій території, має також право звернутися з апеляційною скаргою до Херсонського апеляційного суду у разі, коли судове рішення ухвалене в результаті розгляду її цивільної справи місцевим загальним судом, розташованим у межах Херсонської області, як судом першої інстанції</w:t>
      </w:r>
      <w:r w:rsidR="00922EAE" w:rsidRPr="00974783">
        <w:rPr>
          <w:sz w:val="28"/>
        </w:rPr>
        <w:t>"</w:t>
      </w:r>
      <w:r w:rsidRPr="00974783">
        <w:rPr>
          <w:sz w:val="28"/>
        </w:rPr>
        <w:t>.</w:t>
      </w:r>
    </w:p>
    <w:p w:rsidR="00722538" w:rsidRPr="00974783" w:rsidRDefault="00722538" w:rsidP="00922EAE">
      <w:pPr>
        <w:ind w:firstLine="709"/>
        <w:jc w:val="both"/>
        <w:rPr>
          <w:sz w:val="28"/>
        </w:rPr>
      </w:pPr>
      <w:r w:rsidRPr="00974783">
        <w:rPr>
          <w:sz w:val="28"/>
        </w:rPr>
        <w:t>У зв</w:t>
      </w:r>
      <w:r w:rsidR="00922EAE" w:rsidRPr="00974783">
        <w:rPr>
          <w:sz w:val="28"/>
        </w:rPr>
        <w:t>’</w:t>
      </w:r>
      <w:r w:rsidRPr="00974783">
        <w:rPr>
          <w:sz w:val="28"/>
        </w:rPr>
        <w:t>язку з цим абзаци одинадцятий та дванадцятий вважати відповідно абзацами чотирнадцятим та п</w:t>
      </w:r>
      <w:r w:rsidR="00922EAE" w:rsidRPr="00974783">
        <w:rPr>
          <w:sz w:val="28"/>
        </w:rPr>
        <w:t>’</w:t>
      </w:r>
      <w:r w:rsidRPr="00974783">
        <w:rPr>
          <w:sz w:val="28"/>
        </w:rPr>
        <w:t>ятнадцятим.</w:t>
      </w:r>
    </w:p>
    <w:p w:rsidR="00922EAE" w:rsidRPr="00974783" w:rsidRDefault="00922EAE" w:rsidP="00922EAE">
      <w:pPr>
        <w:ind w:firstLine="709"/>
        <w:jc w:val="both"/>
        <w:rPr>
          <w:sz w:val="28"/>
        </w:rPr>
      </w:pPr>
    </w:p>
    <w:p w:rsidR="00722538" w:rsidRPr="00974783" w:rsidRDefault="00722538" w:rsidP="00922EAE">
      <w:pPr>
        <w:ind w:firstLine="709"/>
        <w:jc w:val="both"/>
        <w:rPr>
          <w:sz w:val="28"/>
        </w:rPr>
      </w:pPr>
      <w:r w:rsidRPr="00974783">
        <w:rPr>
          <w:sz w:val="28"/>
        </w:rPr>
        <w:t>II. Прикінцеві та перехідні положення</w:t>
      </w:r>
    </w:p>
    <w:p w:rsidR="00922EAE" w:rsidRPr="00974783" w:rsidRDefault="00922EAE" w:rsidP="00922EAE">
      <w:pPr>
        <w:ind w:firstLine="709"/>
        <w:jc w:val="both"/>
        <w:rPr>
          <w:sz w:val="28"/>
        </w:rPr>
      </w:pPr>
    </w:p>
    <w:p w:rsidR="00722538" w:rsidRPr="00974783" w:rsidRDefault="00722538" w:rsidP="00922EAE">
      <w:pPr>
        <w:spacing w:after="120"/>
        <w:ind w:firstLine="709"/>
        <w:jc w:val="both"/>
        <w:rPr>
          <w:sz w:val="28"/>
        </w:rPr>
      </w:pPr>
      <w:r w:rsidRPr="00974783">
        <w:rPr>
          <w:sz w:val="28"/>
        </w:rPr>
        <w:t>1. Цей Закон набирає чинності з дня, наступного за днем його опублікування.</w:t>
      </w:r>
    </w:p>
    <w:p w:rsidR="00722538" w:rsidRPr="00974783" w:rsidRDefault="00722538" w:rsidP="00922EAE">
      <w:pPr>
        <w:ind w:firstLine="709"/>
        <w:jc w:val="both"/>
        <w:rPr>
          <w:sz w:val="28"/>
        </w:rPr>
      </w:pPr>
      <w:r w:rsidRPr="00974783">
        <w:rPr>
          <w:sz w:val="28"/>
        </w:rPr>
        <w:t>2. Суди, у провадженні яких до набрання чинності цим Законом знаходяться цивільні справи, підсудні місцевим загальним чи апеляційним судам, розташованим на території Автономної Республіки Крим та міста Севастополя, продовжують та завершують розгляд таких справ відповідно до раніше визначеної територіальної юрисдикції (підсудності).</w:t>
      </w:r>
    </w:p>
    <w:p w:rsidR="00595064" w:rsidRPr="00974783" w:rsidRDefault="00595064" w:rsidP="00922EAE">
      <w:pPr>
        <w:jc w:val="both"/>
        <w:rPr>
          <w:sz w:val="28"/>
        </w:rPr>
      </w:pPr>
    </w:p>
    <w:p w:rsidR="00922EAE" w:rsidRPr="00974783" w:rsidRDefault="00922EAE" w:rsidP="00922EAE">
      <w:pPr>
        <w:jc w:val="both"/>
        <w:rPr>
          <w:sz w:val="28"/>
          <w:szCs w:val="28"/>
        </w:rPr>
      </w:pPr>
    </w:p>
    <w:p w:rsidR="00922EAE" w:rsidRPr="00974783" w:rsidRDefault="00922EAE" w:rsidP="00922EAE">
      <w:pPr>
        <w:jc w:val="both"/>
        <w:rPr>
          <w:sz w:val="28"/>
          <w:szCs w:val="28"/>
        </w:rPr>
      </w:pPr>
    </w:p>
    <w:p w:rsidR="00922EAE" w:rsidRPr="00974783" w:rsidRDefault="00922EAE" w:rsidP="00922EAE">
      <w:pPr>
        <w:pStyle w:val="3"/>
        <w:ind w:left="0"/>
        <w:jc w:val="left"/>
        <w:rPr>
          <w:b w:val="0"/>
          <w:sz w:val="28"/>
          <w:szCs w:val="28"/>
        </w:rPr>
      </w:pPr>
      <w:r w:rsidRPr="00974783">
        <w:rPr>
          <w:b w:val="0"/>
          <w:sz w:val="28"/>
          <w:szCs w:val="28"/>
        </w:rPr>
        <w:t xml:space="preserve">Голова Верховної Ради </w:t>
      </w:r>
    </w:p>
    <w:p w:rsidR="00922EAE" w:rsidRPr="00974783" w:rsidRDefault="00922EAE" w:rsidP="00922EAE">
      <w:pPr>
        <w:rPr>
          <w:sz w:val="28"/>
          <w:szCs w:val="28"/>
        </w:rPr>
      </w:pPr>
      <w:r w:rsidRPr="00974783">
        <w:rPr>
          <w:sz w:val="28"/>
          <w:szCs w:val="28"/>
        </w:rPr>
        <w:t xml:space="preserve">          </w:t>
      </w:r>
      <w:r w:rsidR="00E02DAB">
        <w:rPr>
          <w:sz w:val="28"/>
          <w:szCs w:val="28"/>
        </w:rPr>
        <w:t xml:space="preserve">   </w:t>
      </w:r>
      <w:r w:rsidRPr="00974783">
        <w:rPr>
          <w:sz w:val="28"/>
          <w:szCs w:val="28"/>
        </w:rPr>
        <w:t xml:space="preserve">України       </w:t>
      </w:r>
      <w:r w:rsidRPr="00974783">
        <w:rPr>
          <w:sz w:val="28"/>
          <w:szCs w:val="28"/>
        </w:rPr>
        <w:tab/>
        <w:t xml:space="preserve">                            </w:t>
      </w:r>
      <w:r w:rsidRPr="00974783">
        <w:rPr>
          <w:sz w:val="28"/>
          <w:szCs w:val="28"/>
        </w:rPr>
        <w:tab/>
      </w:r>
      <w:bookmarkStart w:id="0" w:name="_GoBack"/>
      <w:bookmarkEnd w:id="0"/>
      <w:r w:rsidRPr="00974783">
        <w:rPr>
          <w:sz w:val="28"/>
          <w:szCs w:val="28"/>
        </w:rPr>
        <w:t xml:space="preserve">  </w:t>
      </w:r>
      <w:r w:rsidRPr="00974783">
        <w:rPr>
          <w:sz w:val="28"/>
          <w:szCs w:val="28"/>
          <w:lang w:val="ru-RU"/>
        </w:rPr>
        <w:t>Д</w:t>
      </w:r>
      <w:r w:rsidRPr="00974783">
        <w:rPr>
          <w:sz w:val="28"/>
          <w:szCs w:val="28"/>
        </w:rPr>
        <w:t>.РАЗУМКОВ</w:t>
      </w:r>
    </w:p>
    <w:p w:rsidR="00922EAE" w:rsidRPr="00974783" w:rsidRDefault="00922EAE" w:rsidP="00922EAE">
      <w:pPr>
        <w:rPr>
          <w:sz w:val="28"/>
          <w:szCs w:val="28"/>
        </w:rPr>
      </w:pPr>
    </w:p>
    <w:p w:rsidR="00922EAE" w:rsidRPr="00974783" w:rsidRDefault="00922EAE" w:rsidP="00922EAE">
      <w:pPr>
        <w:ind w:firstLine="720"/>
        <w:rPr>
          <w:sz w:val="28"/>
          <w:szCs w:val="28"/>
        </w:rPr>
      </w:pPr>
      <w:r w:rsidRPr="00974783">
        <w:rPr>
          <w:sz w:val="28"/>
          <w:szCs w:val="28"/>
        </w:rPr>
        <w:t xml:space="preserve">  м. К и ї в</w:t>
      </w:r>
    </w:p>
    <w:p w:rsidR="00922EAE" w:rsidRPr="00974783" w:rsidRDefault="00922EAE" w:rsidP="00922EAE">
      <w:pPr>
        <w:rPr>
          <w:sz w:val="28"/>
          <w:szCs w:val="28"/>
        </w:rPr>
      </w:pPr>
      <w:r w:rsidRPr="00974783">
        <w:rPr>
          <w:sz w:val="28"/>
          <w:szCs w:val="28"/>
        </w:rPr>
        <w:t xml:space="preserve">  4 березня 2021 року</w:t>
      </w:r>
    </w:p>
    <w:p w:rsidR="00922EAE" w:rsidRPr="00974783" w:rsidRDefault="00922EAE" w:rsidP="00922EAE">
      <w:pPr>
        <w:rPr>
          <w:sz w:val="28"/>
          <w:szCs w:val="28"/>
        </w:rPr>
      </w:pPr>
      <w:r w:rsidRPr="00974783">
        <w:rPr>
          <w:sz w:val="28"/>
          <w:szCs w:val="28"/>
        </w:rPr>
        <w:t xml:space="preserve">        № 1319</w:t>
      </w:r>
      <w:r w:rsidRPr="00974783">
        <w:rPr>
          <w:sz w:val="28"/>
          <w:szCs w:val="28"/>
        </w:rPr>
        <w:sym w:font="Symbol" w:char="F02D"/>
      </w:r>
      <w:r w:rsidRPr="00974783">
        <w:rPr>
          <w:sz w:val="28"/>
          <w:szCs w:val="28"/>
        </w:rPr>
        <w:t xml:space="preserve">IX </w:t>
      </w:r>
    </w:p>
    <w:p w:rsidR="00922EAE" w:rsidRPr="00974783" w:rsidRDefault="00922EAE" w:rsidP="00922EAE">
      <w:pPr>
        <w:rPr>
          <w:sz w:val="28"/>
          <w:szCs w:val="28"/>
        </w:rPr>
      </w:pPr>
    </w:p>
    <w:p w:rsidR="00922EAE" w:rsidRPr="00974783" w:rsidRDefault="00922EAE" w:rsidP="00922EAE">
      <w:pPr>
        <w:jc w:val="both"/>
        <w:rPr>
          <w:sz w:val="28"/>
          <w:szCs w:val="28"/>
        </w:rPr>
      </w:pPr>
    </w:p>
    <w:sectPr w:rsidR="00922EAE" w:rsidRPr="00974783" w:rsidSect="00922EAE">
      <w:headerReference w:type="default" r:id="rId7"/>
      <w:footerReference w:type="even" r:id="rId8"/>
      <w:footerReference w:type="default" r:id="rId9"/>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CFB" w:rsidRDefault="00242CFB">
      <w:r>
        <w:separator/>
      </w:r>
    </w:p>
  </w:endnote>
  <w:endnote w:type="continuationSeparator" w:id="0">
    <w:p w:rsidR="00242CFB" w:rsidRDefault="00242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Peterburg">
    <w:panose1 w:val="020B7200000000000000"/>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538" w:rsidRDefault="00722538" w:rsidP="0092137A">
    <w:pPr>
      <w:pStyle w:val="a6"/>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separate"/>
    </w:r>
    <w:r w:rsidR="00821564">
      <w:rPr>
        <w:rStyle w:val="ab"/>
        <w:noProof/>
      </w:rPr>
      <w:t>2</w:t>
    </w:r>
    <w:r>
      <w:rPr>
        <w:rStyle w:val="ab"/>
      </w:rPr>
      <w:fldChar w:fldCharType="end"/>
    </w:r>
  </w:p>
  <w:p w:rsidR="00722538" w:rsidRDefault="00722538">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538" w:rsidRDefault="00722538" w:rsidP="00922EAE">
    <w:pPr>
      <w:pStyle w:val="a6"/>
      <w:framePr w:wrap="around" w:vAnchor="text" w:hAnchor="margin" w:xAlign="center" w:y="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CFB" w:rsidRDefault="00242CFB">
      <w:r>
        <w:separator/>
      </w:r>
    </w:p>
  </w:footnote>
  <w:footnote w:type="continuationSeparator" w:id="0">
    <w:p w:rsidR="00242CFB" w:rsidRDefault="00242C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1345834"/>
      <w:docPartObj>
        <w:docPartGallery w:val="Page Numbers (Top of Page)"/>
        <w:docPartUnique/>
      </w:docPartObj>
    </w:sdtPr>
    <w:sdtEndPr>
      <w:rPr>
        <w:rFonts w:ascii="Peterburg" w:hAnsi="Peterburg"/>
        <w:sz w:val="28"/>
        <w:szCs w:val="28"/>
      </w:rPr>
    </w:sdtEndPr>
    <w:sdtContent>
      <w:p w:rsidR="00922EAE" w:rsidRPr="00922EAE" w:rsidRDefault="00922EAE" w:rsidP="00922EAE">
        <w:pPr>
          <w:pStyle w:val="a7"/>
          <w:jc w:val="center"/>
          <w:rPr>
            <w:rFonts w:ascii="Peterburg" w:hAnsi="Peterburg"/>
            <w:sz w:val="28"/>
            <w:szCs w:val="28"/>
          </w:rPr>
        </w:pPr>
        <w:r w:rsidRPr="00922EAE">
          <w:rPr>
            <w:rFonts w:ascii="Peterburg" w:hAnsi="Peterburg"/>
            <w:sz w:val="28"/>
            <w:szCs w:val="28"/>
          </w:rPr>
          <w:fldChar w:fldCharType="begin"/>
        </w:r>
        <w:r w:rsidRPr="00922EAE">
          <w:rPr>
            <w:rFonts w:ascii="Peterburg" w:hAnsi="Peterburg"/>
            <w:sz w:val="28"/>
            <w:szCs w:val="28"/>
          </w:rPr>
          <w:instrText>PAGE   \* MERGEFORMAT</w:instrText>
        </w:r>
        <w:r w:rsidRPr="00922EAE">
          <w:rPr>
            <w:rFonts w:ascii="Peterburg" w:hAnsi="Peterburg"/>
            <w:sz w:val="28"/>
            <w:szCs w:val="28"/>
          </w:rPr>
          <w:fldChar w:fldCharType="separate"/>
        </w:r>
        <w:r w:rsidR="00E02DAB">
          <w:rPr>
            <w:rFonts w:ascii="Peterburg" w:hAnsi="Peterburg"/>
            <w:noProof/>
            <w:sz w:val="28"/>
            <w:szCs w:val="28"/>
          </w:rPr>
          <w:t>2</w:t>
        </w:r>
        <w:r w:rsidRPr="00922EAE">
          <w:rPr>
            <w:rFonts w:ascii="Peterburg" w:hAnsi="Peterburg"/>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538"/>
    <w:rsid w:val="000268D9"/>
    <w:rsid w:val="000C1B55"/>
    <w:rsid w:val="000E52CE"/>
    <w:rsid w:val="00127AE4"/>
    <w:rsid w:val="001C5340"/>
    <w:rsid w:val="001E3226"/>
    <w:rsid w:val="002252DF"/>
    <w:rsid w:val="00242CFB"/>
    <w:rsid w:val="0026095E"/>
    <w:rsid w:val="002641E0"/>
    <w:rsid w:val="002A4711"/>
    <w:rsid w:val="00315D1B"/>
    <w:rsid w:val="003320AE"/>
    <w:rsid w:val="0034740D"/>
    <w:rsid w:val="00385232"/>
    <w:rsid w:val="003932D0"/>
    <w:rsid w:val="004310BA"/>
    <w:rsid w:val="004E34A2"/>
    <w:rsid w:val="004E5696"/>
    <w:rsid w:val="004F45D4"/>
    <w:rsid w:val="005329D9"/>
    <w:rsid w:val="005721F5"/>
    <w:rsid w:val="0057562B"/>
    <w:rsid w:val="00595064"/>
    <w:rsid w:val="005F47FB"/>
    <w:rsid w:val="006216C3"/>
    <w:rsid w:val="006254A9"/>
    <w:rsid w:val="006521AC"/>
    <w:rsid w:val="00654BEC"/>
    <w:rsid w:val="006C3615"/>
    <w:rsid w:val="006D1D96"/>
    <w:rsid w:val="00722538"/>
    <w:rsid w:val="007936BE"/>
    <w:rsid w:val="007B23B8"/>
    <w:rsid w:val="00813F9A"/>
    <w:rsid w:val="00821564"/>
    <w:rsid w:val="0086391C"/>
    <w:rsid w:val="008B4C53"/>
    <w:rsid w:val="008C215C"/>
    <w:rsid w:val="009069A1"/>
    <w:rsid w:val="00922EAE"/>
    <w:rsid w:val="00974783"/>
    <w:rsid w:val="00A64CC1"/>
    <w:rsid w:val="00AE69D8"/>
    <w:rsid w:val="00B845D8"/>
    <w:rsid w:val="00BC43AB"/>
    <w:rsid w:val="00BC7AA8"/>
    <w:rsid w:val="00BD1260"/>
    <w:rsid w:val="00BE68DB"/>
    <w:rsid w:val="00C25AAE"/>
    <w:rsid w:val="00D26957"/>
    <w:rsid w:val="00D377FC"/>
    <w:rsid w:val="00D47C0D"/>
    <w:rsid w:val="00DA6574"/>
    <w:rsid w:val="00E02158"/>
    <w:rsid w:val="00E02DAB"/>
    <w:rsid w:val="00E33870"/>
    <w:rsid w:val="00E50DCD"/>
    <w:rsid w:val="00E7376E"/>
    <w:rsid w:val="00ED1BD4"/>
    <w:rsid w:val="00F05F38"/>
    <w:rsid w:val="00F075C2"/>
    <w:rsid w:val="00F32C7D"/>
    <w:rsid w:val="00FB2947"/>
    <w:rsid w:val="00FD61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9EEAB2"/>
  <w15:chartTrackingRefBased/>
  <w15:docId w15:val="{6F7F9C2A-D3A0-494A-8BD0-D36744DFE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uiPriority w:val="99"/>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1">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2">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table" w:styleId="a9">
    <w:name w:val="Table Grid"/>
    <w:basedOn w:val="a2"/>
    <w:uiPriority w:val="39"/>
    <w:rsid w:val="0072253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Номер страницы"/>
    <w:basedOn w:val="a6"/>
    <w:rsid w:val="00722538"/>
    <w:rPr>
      <w:sz w:val="28"/>
    </w:rPr>
  </w:style>
  <w:style w:type="character" w:styleId="ab">
    <w:name w:val="page number"/>
    <w:basedOn w:val="a1"/>
    <w:rsid w:val="00722538"/>
  </w:style>
  <w:style w:type="character" w:customStyle="1" w:styleId="30">
    <w:name w:val="Заголовок 3 Знак"/>
    <w:basedOn w:val="a1"/>
    <w:link w:val="3"/>
    <w:uiPriority w:val="99"/>
    <w:rsid w:val="00922EAE"/>
    <w:rPr>
      <w:b/>
      <w:bCs/>
      <w:sz w:val="24"/>
      <w:szCs w:val="24"/>
      <w:lang w:eastAsia="ru-RU"/>
    </w:rPr>
  </w:style>
  <w:style w:type="character" w:customStyle="1" w:styleId="a8">
    <w:name w:val="Верхній колонтитул Знак"/>
    <w:basedOn w:val="a1"/>
    <w:link w:val="a7"/>
    <w:uiPriority w:val="99"/>
    <w:rsid w:val="00922EAE"/>
    <w:rPr>
      <w:lang w:eastAsia="ru-RU"/>
    </w:rPr>
  </w:style>
  <w:style w:type="paragraph" w:styleId="ac">
    <w:name w:val="Balloon Text"/>
    <w:basedOn w:val="a0"/>
    <w:link w:val="ad"/>
    <w:rsid w:val="00F05F38"/>
    <w:rPr>
      <w:rFonts w:ascii="Segoe UI" w:hAnsi="Segoe UI" w:cs="Segoe UI"/>
      <w:sz w:val="18"/>
      <w:szCs w:val="18"/>
    </w:rPr>
  </w:style>
  <w:style w:type="character" w:customStyle="1" w:styleId="ad">
    <w:name w:val="Текст у виносці Знак"/>
    <w:basedOn w:val="a1"/>
    <w:link w:val="ac"/>
    <w:rsid w:val="00F05F3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Template>
  <TotalTime>2</TotalTime>
  <Pages>2</Pages>
  <Words>2054</Words>
  <Characters>1172</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Юхименко Тетяна Петрівна</cp:lastModifiedBy>
  <cp:revision>4</cp:revision>
  <cp:lastPrinted>2021-03-04T13:38:00Z</cp:lastPrinted>
  <dcterms:created xsi:type="dcterms:W3CDTF">2021-03-10T07:17:00Z</dcterms:created>
  <dcterms:modified xsi:type="dcterms:W3CDTF">2021-03-10T07:21:00Z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