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9F4" w:rsidRDefault="004719F4" w:rsidP="00BE0718">
      <w:pPr>
        <w:ind w:firstLine="0"/>
        <w:jc w:val="center"/>
      </w:pPr>
      <w:bookmarkStart w:id="0" w:name="_GoBack"/>
      <w:bookmarkEnd w:id="0"/>
    </w:p>
    <w:p w:rsidR="000A156E" w:rsidRDefault="000A156E" w:rsidP="00BE0718">
      <w:pPr>
        <w:ind w:firstLine="0"/>
        <w:jc w:val="center"/>
      </w:pPr>
    </w:p>
    <w:p w:rsidR="000A156E" w:rsidRDefault="000A156E" w:rsidP="00BE0718">
      <w:pPr>
        <w:ind w:firstLine="0"/>
        <w:jc w:val="center"/>
      </w:pPr>
    </w:p>
    <w:p w:rsidR="000A156E" w:rsidRDefault="000A156E" w:rsidP="00BE0718">
      <w:pPr>
        <w:ind w:firstLine="0"/>
        <w:jc w:val="center"/>
      </w:pPr>
    </w:p>
    <w:p w:rsidR="000A156E" w:rsidRDefault="000A156E" w:rsidP="00BE0718">
      <w:pPr>
        <w:ind w:firstLine="0"/>
        <w:jc w:val="center"/>
      </w:pPr>
    </w:p>
    <w:p w:rsidR="000A156E" w:rsidRDefault="000A156E" w:rsidP="00BE0718">
      <w:pPr>
        <w:ind w:firstLine="0"/>
        <w:jc w:val="center"/>
      </w:pPr>
    </w:p>
    <w:p w:rsidR="00653B8E" w:rsidRDefault="00653B8E" w:rsidP="00BE0718">
      <w:pPr>
        <w:ind w:firstLine="0"/>
        <w:jc w:val="center"/>
      </w:pPr>
    </w:p>
    <w:p w:rsidR="000A156E" w:rsidRPr="00964DB3" w:rsidRDefault="000A156E" w:rsidP="00BE0718">
      <w:pPr>
        <w:ind w:firstLine="0"/>
        <w:jc w:val="center"/>
        <w:rPr>
          <w:b/>
        </w:rPr>
      </w:pPr>
      <w:r w:rsidRPr="00964DB3">
        <w:rPr>
          <w:b/>
        </w:rPr>
        <w:t>ВИСНОВОК</w:t>
      </w:r>
    </w:p>
    <w:p w:rsidR="00A70781" w:rsidRDefault="000A156E" w:rsidP="00BE0718">
      <w:pPr>
        <w:tabs>
          <w:tab w:val="left" w:pos="0"/>
        </w:tabs>
        <w:ind w:firstLine="0"/>
        <w:jc w:val="center"/>
        <w:rPr>
          <w:b/>
        </w:rPr>
      </w:pPr>
      <w:r w:rsidRPr="00964DB3">
        <w:rPr>
          <w:b/>
        </w:rPr>
        <w:t xml:space="preserve">на проект Закону України «Про внесення </w:t>
      </w:r>
    </w:p>
    <w:p w:rsidR="00A70781" w:rsidRDefault="000A156E" w:rsidP="00BE0718">
      <w:pPr>
        <w:tabs>
          <w:tab w:val="left" w:pos="0"/>
        </w:tabs>
        <w:ind w:firstLine="0"/>
        <w:jc w:val="center"/>
        <w:rPr>
          <w:b/>
        </w:rPr>
      </w:pPr>
      <w:r w:rsidRPr="00964DB3">
        <w:rPr>
          <w:b/>
        </w:rPr>
        <w:t>змін до</w:t>
      </w:r>
      <w:r w:rsidR="00A70781">
        <w:rPr>
          <w:b/>
        </w:rPr>
        <w:t xml:space="preserve"> </w:t>
      </w:r>
      <w:r w:rsidRPr="00964DB3">
        <w:rPr>
          <w:b/>
        </w:rPr>
        <w:t xml:space="preserve">деяких законів України щодо охорони </w:t>
      </w:r>
    </w:p>
    <w:p w:rsidR="000A156E" w:rsidRPr="00964DB3" w:rsidRDefault="000A156E" w:rsidP="00BE0718">
      <w:pPr>
        <w:tabs>
          <w:tab w:val="left" w:pos="0"/>
        </w:tabs>
        <w:ind w:firstLine="0"/>
        <w:jc w:val="center"/>
      </w:pPr>
      <w:r w:rsidRPr="00964DB3">
        <w:rPr>
          <w:b/>
        </w:rPr>
        <w:t>здоров’я населення від шкідливого впливу тютюну»</w:t>
      </w:r>
    </w:p>
    <w:p w:rsidR="000A156E" w:rsidRPr="00964DB3" w:rsidRDefault="000A156E" w:rsidP="00BE0718">
      <w:pPr>
        <w:tabs>
          <w:tab w:val="left" w:pos="0"/>
        </w:tabs>
        <w:ind w:firstLine="0"/>
        <w:jc w:val="center"/>
        <w:rPr>
          <w:b/>
        </w:rPr>
      </w:pPr>
    </w:p>
    <w:p w:rsidR="00A70781" w:rsidRDefault="00A70781" w:rsidP="00BC498F">
      <w:pPr>
        <w:ind w:right="-2"/>
        <w:jc w:val="both"/>
      </w:pPr>
      <w:r w:rsidRPr="00A70781">
        <w:rPr>
          <w:rFonts w:eastAsia="Times New Roman"/>
          <w:lang w:eastAsia="ru-RU"/>
        </w:rPr>
        <w:t xml:space="preserve">У Головному науково-експертному управлінні розглянуто поданий законопроект, який є альтернативним до проекту Закону України  </w:t>
      </w:r>
      <w:r>
        <w:rPr>
          <w:rFonts w:eastAsia="Times New Roman"/>
          <w:lang w:eastAsia="ru-RU"/>
        </w:rPr>
        <w:t xml:space="preserve">                            </w:t>
      </w:r>
      <w:r>
        <w:t>«Про внесення змін до деяких законів України щодо охорони здоров’я населення від шкідливого впливу тютюну»</w:t>
      </w:r>
      <w:r w:rsidRPr="00A70781">
        <w:t xml:space="preserve"> </w:t>
      </w:r>
      <w:r>
        <w:t xml:space="preserve">реєстр. </w:t>
      </w:r>
      <w:r w:rsidRPr="00964DB3">
        <w:t>№ 2813 від 28.01.2020</w:t>
      </w:r>
      <w:r>
        <w:t>.</w:t>
      </w:r>
    </w:p>
    <w:p w:rsidR="00A70781" w:rsidRDefault="0084687A" w:rsidP="00BC498F">
      <w:pPr>
        <w:ind w:right="-2"/>
        <w:jc w:val="both"/>
      </w:pPr>
      <w:r>
        <w:t xml:space="preserve">У проекті Закону пропонується </w:t>
      </w:r>
      <w:r w:rsidRPr="0084687A">
        <w:t xml:space="preserve">внести зміни до законів України </w:t>
      </w:r>
      <w:r>
        <w:t xml:space="preserve">                 </w:t>
      </w:r>
      <w:r w:rsidRPr="0084687A">
        <w:t xml:space="preserve">«Про заходи щодо попередження та зменшення </w:t>
      </w:r>
      <w:r w:rsidRPr="00920098">
        <w:t>вживання тютюнових виробів і їх шкідливого впливу на здоров’я населення», «Про державне регулювання виробництва і обігу спирту етилового, коньячного і плодового, алкогольних напоїв, тютюнових виробів та пального»</w:t>
      </w:r>
      <w:r w:rsidR="00155565" w:rsidRPr="00920098">
        <w:t xml:space="preserve"> </w:t>
      </w:r>
      <w:r w:rsidRPr="00920098">
        <w:t xml:space="preserve">та «Про рекламу» з </w:t>
      </w:r>
      <w:r w:rsidR="00A70781" w:rsidRPr="00920098">
        <w:t xml:space="preserve">метою </w:t>
      </w:r>
      <w:r w:rsidRPr="00920098">
        <w:t>«</w:t>
      </w:r>
      <w:r w:rsidR="00A70781" w:rsidRPr="00920098">
        <w:t xml:space="preserve">забезпечення високого рівня захисту здоров’я людини, особливо молоді, а також для виконання </w:t>
      </w:r>
      <w:r w:rsidR="00920098" w:rsidRPr="00920098">
        <w:t>зобов’язань</w:t>
      </w:r>
      <w:r w:rsidR="00A70781" w:rsidRPr="00920098">
        <w:t xml:space="preserve"> України відповідно</w:t>
      </w:r>
      <w:r w:rsidR="00A70781" w:rsidRPr="00A70781">
        <w:t xml:space="preserve"> до Рамкової конвенції ВООЗ із боротьби проти тютюну (РКБТ), а також наближення законодавчих і нормативних актів до вимог Європейського Союзу</w:t>
      </w:r>
      <w:r>
        <w:t>»</w:t>
      </w:r>
      <w:r w:rsidR="00A70781">
        <w:t xml:space="preserve"> (п. 2 пояснювальної записки)</w:t>
      </w:r>
      <w:r w:rsidR="00A70781" w:rsidRPr="00A70781">
        <w:t>.</w:t>
      </w:r>
    </w:p>
    <w:p w:rsidR="00A70781" w:rsidRPr="00A70781" w:rsidRDefault="00A70781" w:rsidP="00BC498F">
      <w:pPr>
        <w:ind w:right="-2"/>
        <w:jc w:val="both"/>
        <w:rPr>
          <w:rFonts w:eastAsia="Times New Roman"/>
          <w:bCs/>
          <w:lang w:eastAsia="ru-RU"/>
        </w:rPr>
      </w:pPr>
      <w:r w:rsidRPr="00A70781">
        <w:rPr>
          <w:rFonts w:eastAsia="Times New Roman"/>
          <w:lang w:eastAsia="ru-RU"/>
        </w:rPr>
        <w:t xml:space="preserve">За результатами аналізу законопроекту Головне управління </w:t>
      </w:r>
      <w:r w:rsidRPr="00A70781">
        <w:rPr>
          <w:rFonts w:eastAsia="Times New Roman"/>
          <w:bCs/>
          <w:lang w:eastAsia="ru-RU"/>
        </w:rPr>
        <w:t xml:space="preserve">висловлює щодо його змісту такі зауваження і пропозиції. </w:t>
      </w:r>
    </w:p>
    <w:p w:rsidR="008D35CA" w:rsidRDefault="00A70781" w:rsidP="00BC498F">
      <w:pPr>
        <w:ind w:right="-2"/>
        <w:jc w:val="both"/>
        <w:rPr>
          <w:color w:val="000000"/>
        </w:rPr>
      </w:pPr>
      <w:r w:rsidRPr="00A70781">
        <w:rPr>
          <w:b/>
          <w:color w:val="000000"/>
        </w:rPr>
        <w:t>1</w:t>
      </w:r>
      <w:r w:rsidRPr="00A70781">
        <w:rPr>
          <w:color w:val="000000"/>
        </w:rPr>
        <w:t xml:space="preserve">. Відповідно до змісту п. 1 пояснювальної записки необхідність прийняття цього законопроекту мотивується потребою вдосконалення законодавства України, в тому числі, щодо імплементації положень ухваленої Європейським Парламентом та Радою ЄС Директиви 2014/40/ЄС                              «Про наближення законів, правил та адміністративних положень держав-членів, що стосуються виробництва, презентації та продажу тютюну та супутніх товарів та скасування Директиви 2001/37/ЄС» (далі – Директива                 № 2014/40/ЄС). </w:t>
      </w:r>
    </w:p>
    <w:p w:rsidR="00A70781" w:rsidRPr="00BC498F" w:rsidRDefault="00A70781" w:rsidP="00BC498F">
      <w:pPr>
        <w:ind w:right="-2"/>
        <w:jc w:val="both"/>
        <w:rPr>
          <w:color w:val="000000"/>
        </w:rPr>
      </w:pPr>
      <w:r w:rsidRPr="00A70781">
        <w:rPr>
          <w:color w:val="000000"/>
        </w:rPr>
        <w:t xml:space="preserve">У зв’язку з цим звертаємо увагу на те, що відповідно до ст. 474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Україна зобов’язалася здійснювати «поступове наближення свого законодавства до права ЄС відповідно до додатків I-XLIV на основі зобов’язань, визначених у Розділах IV, V та VI цієї Угоди, а також відповідно до положень цих Додатків». </w:t>
      </w:r>
      <w:r w:rsidRPr="00A70781">
        <w:rPr>
          <w:color w:val="000000"/>
        </w:rPr>
        <w:lastRenderedPageBreak/>
        <w:t xml:space="preserve">Відповідно додатку XLI до глави 22 «Громадське здоров’я» розділу V «Економічне і галузеве співробітництво» Угоди про асоціацію, імплементації підлягає Директива № 2001/37/ЄС «Про наближення законодавчих, нормативних та адміністративних актів держав-членів щодо виробництва, презентації та реалізації тютюнових виробів» Європейського Парламенту та Ради ЄС від 5 червня 2001 року. За цих обставин процес імплементації Директиви № 2014/40/ЄС у національне законодавство потребує відповідних змін до додатку XLI, внесених </w:t>
      </w:r>
      <w:r w:rsidRPr="00BC498F">
        <w:rPr>
          <w:color w:val="000000"/>
        </w:rPr>
        <w:t>Радою асоціації, яка здійснює контроль і моніторинг застосування та виконання Угоди про асоціацію та уповноважена вносити поправки до додатків до цієї Угоди (ч. 3 ст. 463 Угоди про асоціацію).</w:t>
      </w:r>
    </w:p>
    <w:p w:rsidR="00155565" w:rsidRPr="00BC498F" w:rsidRDefault="00155565" w:rsidP="00BC498F">
      <w:pPr>
        <w:ind w:right="-2"/>
        <w:jc w:val="both"/>
        <w:rPr>
          <w:b/>
          <w:i/>
        </w:rPr>
      </w:pPr>
      <w:r w:rsidRPr="00BC498F">
        <w:rPr>
          <w:b/>
        </w:rPr>
        <w:t>2</w:t>
      </w:r>
      <w:r w:rsidRPr="00BC498F">
        <w:t xml:space="preserve">. Змінами до Закону </w:t>
      </w:r>
      <w:r w:rsidR="00920098" w:rsidRPr="00BC498F">
        <w:t xml:space="preserve">України «Про державне регулювання виробництва і обігу спирту етилового, коньячного і плодового, алкогольних напоїв, тютюнових виробів та пального» (далі – Закон) </w:t>
      </w:r>
      <w:r w:rsidRPr="00BC498F">
        <w:t>розширюється предмет його регулювання, зокрема, включаються питання, які стосуються обігу електронних сигарет та картриджів до них</w:t>
      </w:r>
      <w:r w:rsidR="00920098" w:rsidRPr="00BC498F">
        <w:t xml:space="preserve">, що </w:t>
      </w:r>
      <w:r w:rsidRPr="00BC498F">
        <w:t>доцільно відобразити у назві та преамбулі зазначеного Закону.</w:t>
      </w:r>
    </w:p>
    <w:p w:rsidR="00155565" w:rsidRDefault="00155565" w:rsidP="00BC498F">
      <w:pPr>
        <w:ind w:right="-2"/>
        <w:jc w:val="both"/>
      </w:pPr>
      <w:r w:rsidRPr="00BC498F">
        <w:t>Звертаємо також увагу на те, що норми цього Закону змістовно та структурно розраховані на регулювання виробництва та обігу алкогольних напоїв і тютюнових виробів. Тому положення, якими регулюються питання, пов’язані з виробництвом та обігом електронних</w:t>
      </w:r>
      <w:r w:rsidRPr="002348BE">
        <w:t xml:space="preserve"> сигарет</w:t>
      </w:r>
      <w:r>
        <w:t xml:space="preserve"> та картриджів,</w:t>
      </w:r>
      <w:r w:rsidRPr="002348BE">
        <w:t xml:space="preserve"> </w:t>
      </w:r>
      <w:r>
        <w:t xml:space="preserve">доречно розмістити </w:t>
      </w:r>
      <w:r w:rsidRPr="002348BE">
        <w:t xml:space="preserve">в окремій статті. </w:t>
      </w:r>
    </w:p>
    <w:p w:rsidR="00155565" w:rsidRDefault="00155565" w:rsidP="00BC498F">
      <w:pPr>
        <w:ind w:right="-2"/>
        <w:jc w:val="both"/>
        <w:rPr>
          <w:rStyle w:val="rvts23"/>
        </w:rPr>
      </w:pPr>
      <w:r w:rsidRPr="00155565">
        <w:rPr>
          <w:b/>
        </w:rPr>
        <w:t>3</w:t>
      </w:r>
      <w:r w:rsidRPr="00743784">
        <w:t>.</w:t>
      </w:r>
      <w:r w:rsidRPr="002348BE">
        <w:t xml:space="preserve"> </w:t>
      </w:r>
      <w:r w:rsidRPr="00F10A2D">
        <w:t>У законопроекті</w:t>
      </w:r>
      <w:r>
        <w:rPr>
          <w:b/>
        </w:rPr>
        <w:t xml:space="preserve"> </w:t>
      </w:r>
      <w:r>
        <w:t>пропонується доповнити Закон новою ст. 9</w:t>
      </w:r>
      <w:r>
        <w:rPr>
          <w:vertAlign w:val="superscript"/>
        </w:rPr>
        <w:t>2</w:t>
      </w:r>
      <w:r>
        <w:t>, в якій визначаються в</w:t>
      </w:r>
      <w:r w:rsidRPr="00E06595">
        <w:t>имоги щодо здійснення діяльності, пов’язаної з виробництвом, оптовою та роздрібною торгівлею, експортом і імпортом тютюнових виробів</w:t>
      </w:r>
      <w:r>
        <w:t xml:space="preserve">. Однак, це питання вже регулюється ст. 10 </w:t>
      </w:r>
      <w:r w:rsidRPr="007F76D3">
        <w:rPr>
          <w:rStyle w:val="rvts0"/>
        </w:rPr>
        <w:t>Закон</w:t>
      </w:r>
      <w:r>
        <w:rPr>
          <w:rStyle w:val="rvts0"/>
        </w:rPr>
        <w:t>у</w:t>
      </w:r>
      <w:r w:rsidRPr="007F76D3">
        <w:rPr>
          <w:rStyle w:val="rvts0"/>
        </w:rPr>
        <w:t xml:space="preserve"> України</w:t>
      </w:r>
      <w:r>
        <w:rPr>
          <w:rStyle w:val="rvts0"/>
        </w:rPr>
        <w:t xml:space="preserve"> </w:t>
      </w:r>
      <w:r w:rsidRPr="007F76D3">
        <w:rPr>
          <w:rStyle w:val="rvts0"/>
        </w:rPr>
        <w:t>«</w:t>
      </w:r>
      <w:r w:rsidRPr="007F76D3">
        <w:rPr>
          <w:rStyle w:val="rvts23"/>
        </w:rPr>
        <w:t>Про заходи щодо попередження та зменшення вживання тютюнових виробів і їх шкідливого впливу на здоров’я населення»</w:t>
      </w:r>
      <w:r>
        <w:rPr>
          <w:rStyle w:val="rvts23"/>
        </w:rPr>
        <w:t>. Натомість у законопроекті відсутні пропозиції щодо вилучення цієї статті із зазначеного Закону.</w:t>
      </w:r>
    </w:p>
    <w:p w:rsidR="00155565" w:rsidRPr="00B03AE9" w:rsidRDefault="00155565" w:rsidP="00BC498F">
      <w:pPr>
        <w:ind w:right="-2"/>
        <w:jc w:val="both"/>
      </w:pPr>
      <w:r w:rsidRPr="00155565">
        <w:rPr>
          <w:b/>
        </w:rPr>
        <w:t>4</w:t>
      </w:r>
      <w:r w:rsidRPr="00743784">
        <w:t>.</w:t>
      </w:r>
      <w:r>
        <w:rPr>
          <w:b/>
        </w:rPr>
        <w:t xml:space="preserve"> </w:t>
      </w:r>
      <w:r w:rsidRPr="005F135C">
        <w:t xml:space="preserve">Змінами до </w:t>
      </w:r>
      <w:r>
        <w:t xml:space="preserve">ч. 3 ст. 11 Закону </w:t>
      </w:r>
      <w:r w:rsidRPr="005F135C">
        <w:t>передбачається, що при маркуванні тютюнових виробів</w:t>
      </w:r>
      <w:r>
        <w:t xml:space="preserve"> </w:t>
      </w:r>
      <w:r w:rsidRPr="005F135C">
        <w:t xml:space="preserve">запроваджується </w:t>
      </w:r>
      <w:r w:rsidRPr="005F135C">
        <w:rPr>
          <w:bCs/>
          <w:bdr w:val="none" w:sz="0" w:space="0" w:color="auto" w:frame="1"/>
          <w:lang w:eastAsia="uk-UA"/>
        </w:rPr>
        <w:t>унікальний ідентифікатор тютюнових виробів, який має вказуватися н</w:t>
      </w:r>
      <w:r w:rsidRPr="005F135C">
        <w:t xml:space="preserve">а кожній пачці, коробці або сувенірній коробці тютюнових виробів. </w:t>
      </w:r>
      <w:r>
        <w:t>У зв’язку з цим звертаємо увагу</w:t>
      </w:r>
      <w:r w:rsidRPr="005F135C">
        <w:t xml:space="preserve">, що </w:t>
      </w:r>
      <w:r>
        <w:t>згідно з</w:t>
      </w:r>
      <w:r w:rsidRPr="005F135C">
        <w:t xml:space="preserve"> ч. 2 ст. 15 Директив</w:t>
      </w:r>
      <w:r>
        <w:t>и № 2014/40/ЄС у</w:t>
      </w:r>
      <w:r w:rsidRPr="005F135C">
        <w:rPr>
          <w:shd w:val="clear" w:color="auto" w:fill="FFFFFF"/>
        </w:rPr>
        <w:t>нікальний ідентифікатор повинен містити інформацію про:</w:t>
      </w:r>
      <w:r w:rsidRPr="005F135C">
        <w:t xml:space="preserve"> </w:t>
      </w:r>
      <w:r w:rsidRPr="005F135C">
        <w:rPr>
          <w:shd w:val="clear" w:color="auto" w:fill="FFFFFF"/>
        </w:rPr>
        <w:t>дату і місце виготовлення;</w:t>
      </w:r>
      <w:r w:rsidRPr="005F135C">
        <w:t xml:space="preserve"> </w:t>
      </w:r>
      <w:r w:rsidRPr="005F135C">
        <w:rPr>
          <w:shd w:val="clear" w:color="auto" w:fill="FFFFFF"/>
        </w:rPr>
        <w:t>виробничий об’єкт;</w:t>
      </w:r>
      <w:r w:rsidRPr="005F135C">
        <w:t xml:space="preserve"> </w:t>
      </w:r>
      <w:r w:rsidRPr="005F135C">
        <w:rPr>
          <w:shd w:val="clear" w:color="auto" w:fill="FFFFFF"/>
        </w:rPr>
        <w:t>обладнання, що використовується для виробництва тютюнових виробів;</w:t>
      </w:r>
      <w:r w:rsidRPr="005F135C">
        <w:t xml:space="preserve"> </w:t>
      </w:r>
      <w:r w:rsidRPr="005F135C">
        <w:rPr>
          <w:shd w:val="clear" w:color="auto" w:fill="FFFFFF"/>
        </w:rPr>
        <w:t>робочу зміну або час виробництва;</w:t>
      </w:r>
      <w:r w:rsidRPr="005F135C">
        <w:t xml:space="preserve"> </w:t>
      </w:r>
      <w:r w:rsidRPr="005F135C">
        <w:rPr>
          <w:shd w:val="clear" w:color="auto" w:fill="FFFFFF"/>
        </w:rPr>
        <w:t>опис продукту;</w:t>
      </w:r>
      <w:r w:rsidRPr="005F135C">
        <w:t xml:space="preserve"> </w:t>
      </w:r>
      <w:r w:rsidRPr="005F135C">
        <w:rPr>
          <w:shd w:val="clear" w:color="auto" w:fill="FFFFFF"/>
        </w:rPr>
        <w:t>цільовий ринок роздрібного продажу;</w:t>
      </w:r>
      <w:r w:rsidRPr="005F135C">
        <w:t xml:space="preserve"> </w:t>
      </w:r>
      <w:r w:rsidRPr="005F135C">
        <w:rPr>
          <w:shd w:val="clear" w:color="auto" w:fill="FFFFFF"/>
        </w:rPr>
        <w:t>цільовий маршрут перевезення;</w:t>
      </w:r>
      <w:r w:rsidRPr="005F135C">
        <w:t xml:space="preserve"> </w:t>
      </w:r>
      <w:r w:rsidRPr="005F135C">
        <w:rPr>
          <w:shd w:val="clear" w:color="auto" w:fill="FFFFFF"/>
        </w:rPr>
        <w:t>де це доречно, імпортер до Європейського Союзу;</w:t>
      </w:r>
      <w:r w:rsidRPr="005F135C">
        <w:t xml:space="preserve"> </w:t>
      </w:r>
      <w:r w:rsidRPr="005F135C">
        <w:rPr>
          <w:shd w:val="clear" w:color="auto" w:fill="FFFFFF"/>
        </w:rPr>
        <w:t>фактичний маршрут перевезення від об’єкта виробництва до першої точки роздрібної торгівлі, в тому числі всіх використовуваних складів, а також дату відвантаження, призначення відвантаження, пункт відправлення і вантажоодержувача;</w:t>
      </w:r>
      <w:r w:rsidRPr="005F135C">
        <w:t xml:space="preserve"> </w:t>
      </w:r>
      <w:r w:rsidRPr="005F135C">
        <w:rPr>
          <w:shd w:val="clear" w:color="auto" w:fill="FFFFFF"/>
        </w:rPr>
        <w:t xml:space="preserve">особу всіх покупців від об’єкта виробництва до першої точки роздрібної торгівлі; </w:t>
      </w:r>
      <w:r w:rsidRPr="005F135C">
        <w:t xml:space="preserve"> </w:t>
      </w:r>
      <w:r w:rsidRPr="005F135C">
        <w:rPr>
          <w:shd w:val="clear" w:color="auto" w:fill="FFFFFF"/>
        </w:rPr>
        <w:t>рахунок-фактуру, номер замовлення та записи про оплату всіх покупців від об’єкта виробництва до першої точки роздрібної торгівлі.</w:t>
      </w:r>
      <w:r>
        <w:rPr>
          <w:shd w:val="clear" w:color="auto" w:fill="FFFFFF"/>
        </w:rPr>
        <w:t xml:space="preserve"> </w:t>
      </w:r>
      <w:r w:rsidRPr="005F135C">
        <w:t xml:space="preserve">Враховуючи те, що відсутність узгодженого підходу до маркування </w:t>
      </w:r>
      <w:r w:rsidRPr="005F135C">
        <w:lastRenderedPageBreak/>
        <w:t xml:space="preserve">тютюнових виробів </w:t>
      </w:r>
      <w:r>
        <w:t xml:space="preserve">може </w:t>
      </w:r>
      <w:r w:rsidRPr="005F135C">
        <w:t>негативно вплива</w:t>
      </w:r>
      <w:r>
        <w:t>ти</w:t>
      </w:r>
      <w:r w:rsidRPr="005F135C">
        <w:t xml:space="preserve"> на функціонування транскордонної торгівлі тютюновими виробами, </w:t>
      </w:r>
      <w:r>
        <w:rPr>
          <w:shd w:val="clear" w:color="auto" w:fill="FFFFFF"/>
        </w:rPr>
        <w:t xml:space="preserve">зазначені вимоги </w:t>
      </w:r>
      <w:r w:rsidRPr="005F135C">
        <w:t>Директив</w:t>
      </w:r>
      <w:r>
        <w:t>и    № 2014/40/ЄС</w:t>
      </w:r>
      <w:r>
        <w:rPr>
          <w:shd w:val="clear" w:color="auto" w:fill="FFFFFF"/>
        </w:rPr>
        <w:t xml:space="preserve"> доречно </w:t>
      </w:r>
      <w:r>
        <w:rPr>
          <w:rFonts w:eastAsia="PMingLiU"/>
        </w:rPr>
        <w:t>врахувати у законопроекті</w:t>
      </w:r>
      <w:r>
        <w:t>.</w:t>
      </w:r>
    </w:p>
    <w:p w:rsidR="00064D07" w:rsidRDefault="00155565" w:rsidP="00BC498F">
      <w:pPr>
        <w:ind w:right="-2"/>
        <w:jc w:val="both"/>
      </w:pPr>
      <w:r>
        <w:rPr>
          <w:b/>
        </w:rPr>
        <w:t>5</w:t>
      </w:r>
      <w:r w:rsidR="0044562D">
        <w:t xml:space="preserve">. У законопроекті зустрічаються недостатньо чітко сформульовані норми, що може ускладнювати їх розуміння. </w:t>
      </w:r>
    </w:p>
    <w:p w:rsidR="0044562D" w:rsidRDefault="00155565" w:rsidP="00BC498F">
      <w:pPr>
        <w:ind w:right="-2"/>
        <w:jc w:val="both"/>
      </w:pPr>
      <w:r>
        <w:t>5</w:t>
      </w:r>
      <w:r w:rsidR="00064D07">
        <w:t>.1. З</w:t>
      </w:r>
      <w:r w:rsidR="0044562D">
        <w:t xml:space="preserve">гідно з оновленою редакцією ч. 3 ст. 11 Закону України </w:t>
      </w:r>
      <w:r w:rsidR="00064D07">
        <w:t xml:space="preserve">                  </w:t>
      </w:r>
      <w:r w:rsidR="0044562D">
        <w:t>«</w:t>
      </w:r>
      <w:r w:rsidR="0044562D" w:rsidRPr="00DF6A05">
        <w:t>Про заходи щодо попередження та зменшення вживання тютюнових виробів і їх шкідливого впливу на здоров’я населення»</w:t>
      </w:r>
      <w:r w:rsidR="0044562D">
        <w:t xml:space="preserve"> «к</w:t>
      </w:r>
      <w:r w:rsidR="0044562D" w:rsidRPr="00BD7C8B">
        <w:t xml:space="preserve">ожний виробник </w:t>
      </w:r>
      <w:r w:rsidR="0044562D" w:rsidRPr="00D06D0C">
        <w:rPr>
          <w:i/>
        </w:rPr>
        <w:t xml:space="preserve">або </w:t>
      </w:r>
      <w:r w:rsidR="0044562D" w:rsidRPr="00BD7C8B">
        <w:t xml:space="preserve">імпортер тютюнових виробів </w:t>
      </w:r>
      <w:r w:rsidR="00D06D0C" w:rsidRPr="00BD7C8B">
        <w:t>зобов’язаний</w:t>
      </w:r>
      <w:r w:rsidR="0044562D" w:rsidRPr="00BD7C8B">
        <w:t xml:space="preserve"> в порядку, обсягах і на умовах встановлених законом надавати центральному органу виконавчої влади, що реалізує державну політику у сфері санітарного та епідемічного благополуччя населення, </w:t>
      </w:r>
      <w:r w:rsidR="0044562D" w:rsidRPr="0044562D">
        <w:rPr>
          <w:i/>
        </w:rPr>
        <w:t>інформацію щодо тютюнових виробів</w:t>
      </w:r>
      <w:r w:rsidR="0044562D" w:rsidRPr="00BD7C8B">
        <w:t>, які призначені для реалізації на митній території України»</w:t>
      </w:r>
      <w:r w:rsidR="0044562D">
        <w:t>. У пропонованій нормі, на нашу думку, доцільно уточнити, подання якої інформації вимагається від виробників та імпортерів тютюнових виробів. Крім цього, використання сполучника «або»</w:t>
      </w:r>
      <w:r w:rsidR="0044562D" w:rsidRPr="007D4059">
        <w:t xml:space="preserve"> </w:t>
      </w:r>
      <w:r w:rsidR="0044562D">
        <w:t xml:space="preserve">не дозволяє визначити конкретного виконавця, що може призвести до виникнення непорозумінь при практичному застосуванні цього припису. </w:t>
      </w:r>
    </w:p>
    <w:p w:rsidR="00064D07" w:rsidRDefault="00155565" w:rsidP="00BC498F">
      <w:pPr>
        <w:ind w:right="-2"/>
        <w:jc w:val="both"/>
      </w:pPr>
      <w:r>
        <w:t>5</w:t>
      </w:r>
      <w:r w:rsidR="00064D07">
        <w:t xml:space="preserve">.2. </w:t>
      </w:r>
      <w:r w:rsidR="00064D07" w:rsidRPr="007F6C7C">
        <w:t xml:space="preserve">Окремі формулювання, </w:t>
      </w:r>
      <w:r w:rsidR="00064D07">
        <w:t xml:space="preserve">які </w:t>
      </w:r>
      <w:r w:rsidR="00064D07" w:rsidRPr="007F6C7C">
        <w:t xml:space="preserve">використані у законопроекті, характеризуються відсутністю </w:t>
      </w:r>
      <w:r w:rsidR="00064D07">
        <w:t xml:space="preserve">достатньої </w:t>
      </w:r>
      <w:r w:rsidR="00064D07" w:rsidRPr="007F6C7C">
        <w:t xml:space="preserve">юридичної визначеності. </w:t>
      </w:r>
      <w:r w:rsidR="00064D07" w:rsidRPr="00B62D43">
        <w:t>Наприклад</w:t>
      </w:r>
      <w:r w:rsidR="00443C0D">
        <w:t>,</w:t>
      </w:r>
      <w:r w:rsidR="00064D07" w:rsidRPr="00B62D43">
        <w:t xml:space="preserve"> «основні типи активних користувачів» (п. 2 ч. 5 ст. 9</w:t>
      </w:r>
      <w:r w:rsidR="00064D07" w:rsidRPr="00B62D43">
        <w:rPr>
          <w:vertAlign w:val="superscript"/>
        </w:rPr>
        <w:t>4</w:t>
      </w:r>
      <w:r w:rsidR="00064D07" w:rsidRPr="00B62D43">
        <w:t xml:space="preserve">, якою </w:t>
      </w:r>
      <w:r w:rsidR="00064D07">
        <w:t>доповнюється Закон);</w:t>
      </w:r>
      <w:r w:rsidR="00064D07" w:rsidRPr="00B62D43">
        <w:t xml:space="preserve"> «комерційні повідомлення», «безпосередній або опосередкований ефект»</w:t>
      </w:r>
      <w:r w:rsidR="00064D07">
        <w:t>,</w:t>
      </w:r>
      <w:r w:rsidR="00064D07" w:rsidRPr="00B62D43">
        <w:t xml:space="preserve"> «масові заходи політичного характеру» (ч. 1 ст. 22</w:t>
      </w:r>
      <w:r w:rsidR="00064D07" w:rsidRPr="00B62D43">
        <w:rPr>
          <w:vertAlign w:val="superscript"/>
        </w:rPr>
        <w:t>1</w:t>
      </w:r>
      <w:r w:rsidR="00064D07" w:rsidRPr="00B62D43">
        <w:t>, якою доповнюєтьс</w:t>
      </w:r>
      <w:r w:rsidR="00064D07">
        <w:t>я Закон України «Про рекламу»).</w:t>
      </w:r>
    </w:p>
    <w:p w:rsidR="00064D07" w:rsidRDefault="00155565" w:rsidP="00BC498F">
      <w:pPr>
        <w:ind w:right="-2"/>
        <w:jc w:val="both"/>
      </w:pPr>
      <w:r>
        <w:rPr>
          <w:color w:val="000000"/>
        </w:rPr>
        <w:t>5</w:t>
      </w:r>
      <w:r w:rsidR="00064D07">
        <w:rPr>
          <w:color w:val="000000"/>
        </w:rPr>
        <w:t xml:space="preserve">.3. </w:t>
      </w:r>
      <w:r w:rsidR="00283DB4">
        <w:t>Відповідно до правової позиції Конституційного Суду України елементами верховенства права є принципи рівності і справедливості,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(п. 4.1. мотивувальної частини рішення № 23-рп/2010 від 22 грудня 2010 року</w:t>
      </w:r>
      <w:r w:rsidR="00283DB4">
        <w:rPr>
          <w:rStyle w:val="rvts44"/>
        </w:rPr>
        <w:t>). У законопроекті присутня</w:t>
      </w:r>
      <w:r w:rsidR="00283DB4">
        <w:rPr>
          <w:bCs/>
        </w:rPr>
        <w:t xml:space="preserve"> низка редакційних вад, які порушують принцип юридичної визначеності та не сприятимуть однозначному тлумаченню та застосуванню правових норм. </w:t>
      </w:r>
      <w:r w:rsidR="00064D07">
        <w:t>Н</w:t>
      </w:r>
      <w:r w:rsidR="00EC222D">
        <w:t>априклад,</w:t>
      </w:r>
      <w:r w:rsidR="00064D07" w:rsidRPr="00B62D43">
        <w:t xml:space="preserve"> «</w:t>
      </w:r>
      <w:r w:rsidR="00064D07" w:rsidRPr="00920A37">
        <w:rPr>
          <w:i/>
        </w:rPr>
        <w:t>нормальний</w:t>
      </w:r>
      <w:r w:rsidR="00064D07" w:rsidRPr="00B62D43">
        <w:t xml:space="preserve"> колір сигари» (зміни до ст. 1 Закону</w:t>
      </w:r>
      <w:r w:rsidR="00064D07">
        <w:t xml:space="preserve">), </w:t>
      </w:r>
      <w:r w:rsidR="00064D07" w:rsidRPr="00920A37">
        <w:t>«</w:t>
      </w:r>
      <w:r w:rsidR="00064D07" w:rsidRPr="00920A37">
        <w:rPr>
          <w:i/>
        </w:rPr>
        <w:t>нормальні або обґрунтовано передбачувані умови</w:t>
      </w:r>
      <w:r w:rsidR="00064D07" w:rsidRPr="00920A37">
        <w:t xml:space="preserve">» </w:t>
      </w:r>
      <w:r w:rsidR="00064D07">
        <w:t>(</w:t>
      </w:r>
      <w:proofErr w:type="spellStart"/>
      <w:r w:rsidR="00064D07">
        <w:t>п.п</w:t>
      </w:r>
      <w:proofErr w:type="spellEnd"/>
      <w:r w:rsidR="00064D07">
        <w:t xml:space="preserve">. 4 та 7 </w:t>
      </w:r>
      <w:r w:rsidR="00064D07" w:rsidRPr="00DF6A05">
        <w:t>ч. 2 ст. 9</w:t>
      </w:r>
      <w:r w:rsidR="00064D07" w:rsidRPr="00DF6A05">
        <w:rPr>
          <w:vertAlign w:val="superscript"/>
        </w:rPr>
        <w:t>4</w:t>
      </w:r>
      <w:r w:rsidR="00064D07" w:rsidRPr="00DF6A05">
        <w:t>, якою доповнюється Закон)</w:t>
      </w:r>
      <w:r w:rsidR="00064D07">
        <w:t>. Т</w:t>
      </w:r>
      <w:r w:rsidR="00064D07" w:rsidRPr="00B62D43">
        <w:t xml:space="preserve">акож </w:t>
      </w:r>
      <w:r w:rsidR="00064D07" w:rsidRPr="00B62D43">
        <w:rPr>
          <w:color w:val="000000"/>
        </w:rPr>
        <w:t xml:space="preserve">непоодинокі випадки </w:t>
      </w:r>
      <w:r w:rsidR="00064D07" w:rsidRPr="00B62D43">
        <w:t>використання нетипової для норм закону лексики (наприклад</w:t>
      </w:r>
      <w:r w:rsidR="00283DB4">
        <w:t>,</w:t>
      </w:r>
      <w:r w:rsidR="00064D07" w:rsidRPr="00B62D43">
        <w:t xml:space="preserve"> </w:t>
      </w:r>
      <w:r w:rsidR="00064D07" w:rsidRPr="0044562D">
        <w:rPr>
          <w:i/>
        </w:rPr>
        <w:t xml:space="preserve">реклама </w:t>
      </w:r>
      <w:r w:rsidR="00064D07">
        <w:rPr>
          <w:i/>
        </w:rPr>
        <w:t>«</w:t>
      </w:r>
      <w:r w:rsidR="00064D07" w:rsidRPr="0044562D">
        <w:rPr>
          <w:i/>
        </w:rPr>
        <w:t>у вигляді внесків на державному чи приватному рівні</w:t>
      </w:r>
      <w:r w:rsidR="00064D07" w:rsidRPr="00B62D43">
        <w:t>» (ч. 1 ст. 22</w:t>
      </w:r>
      <w:r w:rsidR="00064D07" w:rsidRPr="00B62D43">
        <w:rPr>
          <w:vertAlign w:val="superscript"/>
        </w:rPr>
        <w:t>1</w:t>
      </w:r>
      <w:r w:rsidR="00064D07" w:rsidRPr="00B62D43">
        <w:t>, якою доповнюється Закон України</w:t>
      </w:r>
      <w:r>
        <w:t xml:space="preserve"> </w:t>
      </w:r>
      <w:r w:rsidR="00064D07" w:rsidRPr="00B62D43">
        <w:t>«Про рекламу»</w:t>
      </w:r>
      <w:r w:rsidR="00283DB4">
        <w:t>)</w:t>
      </w:r>
      <w:r w:rsidR="00064D07" w:rsidRPr="00B62D43">
        <w:t>).</w:t>
      </w:r>
      <w:r>
        <w:t xml:space="preserve">                     </w:t>
      </w:r>
    </w:p>
    <w:p w:rsidR="008D35CA" w:rsidRPr="00CD6C74" w:rsidRDefault="00155565" w:rsidP="00BC498F">
      <w:pPr>
        <w:ind w:right="-2"/>
        <w:jc w:val="both"/>
      </w:pPr>
      <w:r>
        <w:rPr>
          <w:b/>
        </w:rPr>
        <w:t>6</w:t>
      </w:r>
      <w:r w:rsidR="008D35CA" w:rsidRPr="000347AF">
        <w:rPr>
          <w:b/>
        </w:rPr>
        <w:t>.</w:t>
      </w:r>
      <w:r w:rsidR="008D35CA" w:rsidRPr="00730E3F">
        <w:t xml:space="preserve"> </w:t>
      </w:r>
      <w:r w:rsidR="008D35CA" w:rsidRPr="00CD6C74">
        <w:t>Потребує додаткової уваги термінологія законопроекту.</w:t>
      </w:r>
    </w:p>
    <w:p w:rsidR="00FC45BB" w:rsidRDefault="00912663" w:rsidP="00BC498F">
      <w:pPr>
        <w:ind w:right="-2"/>
        <w:jc w:val="both"/>
      </w:pPr>
      <w:r>
        <w:t>В</w:t>
      </w:r>
      <w:r w:rsidR="00A26FAE" w:rsidRPr="00DF6A05">
        <w:t>икликає сумнів доцільність законодавчого визначення загальновідомих понять</w:t>
      </w:r>
      <w:r w:rsidR="00A26FAE">
        <w:t xml:space="preserve"> </w:t>
      </w:r>
      <w:r w:rsidR="004371F5">
        <w:t>(</w:t>
      </w:r>
      <w:r w:rsidR="00A26FAE" w:rsidRPr="00DF6A05">
        <w:t>наприклад,</w:t>
      </w:r>
      <w:r w:rsidR="00A26FAE">
        <w:t xml:space="preserve"> «споживач тютюнового виробу» (зміни до ст. 1 </w:t>
      </w:r>
      <w:r w:rsidR="00A26FAE" w:rsidRPr="00283DB4">
        <w:t>Закону</w:t>
      </w:r>
      <w:r w:rsidR="0084687A" w:rsidRPr="00283DB4">
        <w:t>)</w:t>
      </w:r>
      <w:r w:rsidR="00A26FAE" w:rsidRPr="00283DB4">
        <w:t>.</w:t>
      </w:r>
      <w:r w:rsidR="00283DB4" w:rsidRPr="00283DB4">
        <w:t xml:space="preserve"> </w:t>
      </w:r>
      <w:r w:rsidR="00FC45BB" w:rsidRPr="00283DB4">
        <w:t>Крім</w:t>
      </w:r>
      <w:r w:rsidR="00FC45BB">
        <w:t xml:space="preserve"> того, </w:t>
      </w:r>
      <w:r w:rsidR="00283DB4">
        <w:t xml:space="preserve">в цьому контексті </w:t>
      </w:r>
      <w:r w:rsidR="00FC45BB">
        <w:t>т</w:t>
      </w:r>
      <w:r w:rsidR="00FC45BB" w:rsidRPr="00DF6A05">
        <w:t>ермінологія законопроекту потребує</w:t>
      </w:r>
      <w:r w:rsidR="00FC45BB">
        <w:t xml:space="preserve"> </w:t>
      </w:r>
      <w:r w:rsidR="00FC45BB" w:rsidRPr="00DF6A05">
        <w:t xml:space="preserve">уніфікації, оскільки для позначення одного </w:t>
      </w:r>
      <w:r w:rsidR="00FC45BB">
        <w:t xml:space="preserve">і того ж суб’єкта </w:t>
      </w:r>
      <w:r w:rsidR="00FC45BB" w:rsidRPr="00B62D43">
        <w:t xml:space="preserve">у ньому використані різні </w:t>
      </w:r>
      <w:r w:rsidR="00FC45BB">
        <w:t>поняття</w:t>
      </w:r>
      <w:r w:rsidR="00FC45BB" w:rsidRPr="00B62D43">
        <w:t xml:space="preserve">. Наприклад, у змінах до </w:t>
      </w:r>
      <w:r w:rsidR="00FC45BB">
        <w:t xml:space="preserve">ст. 1 </w:t>
      </w:r>
      <w:r w:rsidR="00FC45BB" w:rsidRPr="00B62D43">
        <w:t xml:space="preserve">Закону </w:t>
      </w:r>
      <w:r w:rsidR="00FC45BB">
        <w:t>використані терміни</w:t>
      </w:r>
      <w:r w:rsidR="00FC45BB" w:rsidRPr="00B62D43">
        <w:t xml:space="preserve"> «споживач тютюнових виробів»</w:t>
      </w:r>
      <w:r w:rsidR="00FC45BB">
        <w:t xml:space="preserve">, в той час як в </w:t>
      </w:r>
      <w:r w:rsidR="00FC45BB" w:rsidRPr="00B62D43">
        <w:t>абз. 3 ч. 3 ст. 9</w:t>
      </w:r>
      <w:r w:rsidR="00FC45BB" w:rsidRPr="00B62D43">
        <w:rPr>
          <w:vertAlign w:val="superscript"/>
        </w:rPr>
        <w:t>3</w:t>
      </w:r>
      <w:r w:rsidR="00FC45BB" w:rsidRPr="00B62D43">
        <w:t xml:space="preserve">, якою </w:t>
      </w:r>
      <w:r w:rsidR="00FC45BB" w:rsidRPr="00B62D43">
        <w:lastRenderedPageBreak/>
        <w:t>доповнюється Закон</w:t>
      </w:r>
      <w:r w:rsidR="00BC498F">
        <w:t>,</w:t>
      </w:r>
      <w:r w:rsidR="00FC45BB">
        <w:t xml:space="preserve"> зазначається термін «курці», а в </w:t>
      </w:r>
      <w:r w:rsidR="00FC45BB" w:rsidRPr="00B62D43">
        <w:t>п. 2 ч. 5 ст. 9</w:t>
      </w:r>
      <w:r w:rsidR="00FC45BB" w:rsidRPr="00B62D43">
        <w:rPr>
          <w:vertAlign w:val="superscript"/>
        </w:rPr>
        <w:t>4</w:t>
      </w:r>
      <w:r w:rsidR="00FC45BB" w:rsidRPr="00B62D43">
        <w:t>, якою доповнюється Закон</w:t>
      </w:r>
      <w:r w:rsidR="00BC498F">
        <w:t>,</w:t>
      </w:r>
      <w:r w:rsidR="00FC45BB">
        <w:t xml:space="preserve"> </w:t>
      </w:r>
      <w:r w:rsidR="00FC45BB" w:rsidRPr="00155565">
        <w:t xml:space="preserve">«некурці». </w:t>
      </w:r>
    </w:p>
    <w:p w:rsidR="00B74A91" w:rsidRDefault="000A1571" w:rsidP="00BC498F">
      <w:pPr>
        <w:ind w:right="-2"/>
        <w:jc w:val="both"/>
      </w:pPr>
      <w:r>
        <w:rPr>
          <w:b/>
          <w:bCs/>
        </w:rPr>
        <w:t>7</w:t>
      </w:r>
      <w:r w:rsidR="008D35CA" w:rsidRPr="00155565">
        <w:rPr>
          <w:b/>
          <w:bCs/>
        </w:rPr>
        <w:t>.</w:t>
      </w:r>
      <w:r w:rsidR="008D35CA" w:rsidRPr="00155565">
        <w:rPr>
          <w:bCs/>
        </w:rPr>
        <w:t xml:space="preserve"> У законопроекті не дотримані вимоги законодавчої техніки</w:t>
      </w:r>
      <w:r w:rsidR="00B74A91">
        <w:rPr>
          <w:bCs/>
        </w:rPr>
        <w:t xml:space="preserve"> щодо </w:t>
      </w:r>
      <w:r w:rsidR="00B74A91" w:rsidRPr="005F135C">
        <w:rPr>
          <w:bCs/>
        </w:rPr>
        <w:t>розміщ</w:t>
      </w:r>
      <w:r w:rsidR="00B74A91">
        <w:rPr>
          <w:bCs/>
        </w:rPr>
        <w:t>ення</w:t>
      </w:r>
      <w:r w:rsidR="00B74A91" w:rsidRPr="005F135C">
        <w:rPr>
          <w:bCs/>
        </w:rPr>
        <w:t xml:space="preserve"> в хронологічному порядку</w:t>
      </w:r>
      <w:r w:rsidR="00B74A91" w:rsidRPr="005F135C">
        <w:t xml:space="preserve"> </w:t>
      </w:r>
      <w:r w:rsidR="00B74A91" w:rsidRPr="005F135C">
        <w:rPr>
          <w:bCs/>
        </w:rPr>
        <w:t>закон</w:t>
      </w:r>
      <w:r w:rsidR="00B74A91">
        <w:rPr>
          <w:bCs/>
        </w:rPr>
        <w:t>ів</w:t>
      </w:r>
      <w:r w:rsidR="00B74A91" w:rsidRPr="005F135C">
        <w:rPr>
          <w:bCs/>
        </w:rPr>
        <w:t>, до яких вносяться зміни</w:t>
      </w:r>
      <w:r w:rsidR="00B74A91">
        <w:rPr>
          <w:bCs/>
        </w:rPr>
        <w:t>.</w:t>
      </w:r>
    </w:p>
    <w:p w:rsidR="00B74A91" w:rsidRDefault="00B74A91" w:rsidP="00BC498F">
      <w:pPr>
        <w:ind w:right="-2"/>
        <w:jc w:val="both"/>
        <w:rPr>
          <w:rFonts w:eastAsia="Times New Roman"/>
          <w:lang w:eastAsia="ru-RU"/>
        </w:rPr>
      </w:pPr>
      <w:r w:rsidRPr="00B74A91">
        <w:rPr>
          <w:rFonts w:eastAsia="Times New Roman"/>
          <w:b/>
          <w:lang w:eastAsia="ru-RU"/>
        </w:rPr>
        <w:t>8</w:t>
      </w:r>
      <w:r w:rsidRPr="00B74A91">
        <w:rPr>
          <w:rFonts w:eastAsia="Times New Roman"/>
          <w:lang w:eastAsia="ru-RU"/>
        </w:rPr>
        <w:t>. Згідно з положеннями п. «с» ч. 1 ст. 16 Рамкової конвенції ВООЗ із боротьби проти тютюну (ратифікована Законом України № 3534-IV від 15.03.2006) кожна Сторона приймає та здійснює ефективні законодавчі, виконавчі, адміністративні або інші заходи на відповідному урядовому рівні для заборони продажу тютюнових виробів особам, що не досягли віку, встановленого внутрішнім законодавством, національним законодавством, або вісімнадцяти років; до цих заходів можуть входити, зокрема, і заборона виготовлення та продажу цукерок, закусок, іграшок чи інших предметів у формі тютюнових виробів, що привертають увагу неповнолітніх. На думку Головного управління, зазначене обмеження доцільно відобразити у Законі шляхом внесення до нього відповідних змін.</w:t>
      </w:r>
    </w:p>
    <w:p w:rsidR="00811D04" w:rsidRPr="00811D04" w:rsidRDefault="00E506EE" w:rsidP="00811D04">
      <w:pPr>
        <w:jc w:val="both"/>
        <w:rPr>
          <w:rFonts w:eastAsia="Calibri"/>
          <w:bCs/>
          <w:shd w:val="clear" w:color="auto" w:fill="FFFFFF"/>
        </w:rPr>
      </w:pPr>
      <w:r>
        <w:rPr>
          <w:rFonts w:eastAsia="Calibri"/>
          <w:b/>
        </w:rPr>
        <w:t>9</w:t>
      </w:r>
      <w:r w:rsidR="00811D04" w:rsidRPr="00811D04">
        <w:rPr>
          <w:rFonts w:eastAsia="Calibri"/>
          <w:b/>
        </w:rPr>
        <w:t>.</w:t>
      </w:r>
      <w:r w:rsidR="00811D04">
        <w:rPr>
          <w:rFonts w:eastAsia="Calibri"/>
        </w:rPr>
        <w:t xml:space="preserve"> Насамкінець</w:t>
      </w:r>
      <w:r w:rsidR="00D93674">
        <w:rPr>
          <w:rFonts w:eastAsia="Calibri"/>
        </w:rPr>
        <w:t>,</w:t>
      </w:r>
      <w:r w:rsidR="00811D04">
        <w:rPr>
          <w:rFonts w:eastAsia="Calibri"/>
        </w:rPr>
        <w:t xml:space="preserve"> вважаємо за необхідне повторити </w:t>
      </w:r>
      <w:r w:rsidR="00D93674">
        <w:rPr>
          <w:rFonts w:eastAsia="Calibri"/>
        </w:rPr>
        <w:t>думку</w:t>
      </w:r>
      <w:r w:rsidR="00811D04">
        <w:rPr>
          <w:rFonts w:eastAsia="Calibri"/>
        </w:rPr>
        <w:t xml:space="preserve">,  висловлену у висновку до основного законопроекту (реєстр. 2813 </w:t>
      </w:r>
      <w:r w:rsidR="00811D04" w:rsidRPr="00964DB3">
        <w:t>від 28.01.2020</w:t>
      </w:r>
      <w:r w:rsidR="00811D04">
        <w:t xml:space="preserve">) щодо </w:t>
      </w:r>
      <w:r w:rsidR="00811D04">
        <w:rPr>
          <w:rFonts w:eastAsia="Calibri"/>
        </w:rPr>
        <w:t xml:space="preserve">доцільності на основі законопроектів, </w:t>
      </w:r>
      <w:r w:rsidR="002C3CE8" w:rsidRPr="002C3CE8">
        <w:rPr>
          <w:rFonts w:eastAsia="Calibri"/>
        </w:rPr>
        <w:t>які містять положення, що регулюють однакове коло питань</w:t>
      </w:r>
      <w:r w:rsidR="00811D04">
        <w:rPr>
          <w:rFonts w:eastAsia="Calibri"/>
        </w:rPr>
        <w:t>, р</w:t>
      </w:r>
      <w:r w:rsidR="00811D04" w:rsidRPr="00811D04">
        <w:rPr>
          <w:rFonts w:eastAsia="Calibri"/>
        </w:rPr>
        <w:t>озроб</w:t>
      </w:r>
      <w:r w:rsidR="00811D04">
        <w:rPr>
          <w:rFonts w:eastAsia="Calibri"/>
        </w:rPr>
        <w:t>ити</w:t>
      </w:r>
      <w:r w:rsidR="00811D04" w:rsidRPr="00811D04">
        <w:rPr>
          <w:rFonts w:eastAsia="Calibri"/>
        </w:rPr>
        <w:t xml:space="preserve"> єдин</w:t>
      </w:r>
      <w:r w:rsidR="00811D04">
        <w:rPr>
          <w:rFonts w:eastAsia="Calibri"/>
        </w:rPr>
        <w:t>ий</w:t>
      </w:r>
      <w:r w:rsidR="00811D04" w:rsidRPr="00811D04">
        <w:rPr>
          <w:rFonts w:eastAsia="Calibri"/>
        </w:rPr>
        <w:t xml:space="preserve"> узгоджен</w:t>
      </w:r>
      <w:r w:rsidR="00811D04">
        <w:rPr>
          <w:rFonts w:eastAsia="Calibri"/>
        </w:rPr>
        <w:t>ий</w:t>
      </w:r>
      <w:r w:rsidR="00811D04" w:rsidRPr="00811D04">
        <w:rPr>
          <w:rFonts w:eastAsia="Calibri"/>
        </w:rPr>
        <w:t xml:space="preserve"> текст з урахуванням позитивних напрацювань, що містяться у кожному із них. </w:t>
      </w:r>
    </w:p>
    <w:p w:rsidR="00811D04" w:rsidRDefault="00811D04" w:rsidP="00BC498F">
      <w:pPr>
        <w:ind w:right="-2"/>
        <w:jc w:val="both"/>
        <w:rPr>
          <w:rFonts w:eastAsia="Times New Roman"/>
          <w:lang w:eastAsia="ru-RU"/>
        </w:rPr>
      </w:pPr>
    </w:p>
    <w:p w:rsidR="008D35CA" w:rsidRDefault="00632A5B" w:rsidP="00BC498F">
      <w:pPr>
        <w:ind w:right="-2"/>
        <w:jc w:val="both"/>
      </w:pPr>
      <w:r w:rsidRPr="00632A5B">
        <w:rPr>
          <w:rFonts w:eastAsia="Times New Roman"/>
          <w:lang w:eastAsia="ru-RU"/>
        </w:rPr>
        <w:t xml:space="preserve"> </w:t>
      </w:r>
    </w:p>
    <w:p w:rsidR="00AE0050" w:rsidRPr="00964DB3" w:rsidRDefault="00AE0050" w:rsidP="00BC498F">
      <w:pPr>
        <w:ind w:right="-2"/>
        <w:jc w:val="both"/>
      </w:pPr>
      <w:r w:rsidRPr="00964DB3">
        <w:t>Узагальнюючий висновок: за результатами розгляду у першому читанні законопр</w:t>
      </w:r>
      <w:r w:rsidR="00B03AE9">
        <w:t>оект доцільно повернути суб’єкту</w:t>
      </w:r>
      <w:r w:rsidRPr="00964DB3">
        <w:t xml:space="preserve"> права законодавчої ініціативи на доопрацювання. </w:t>
      </w:r>
    </w:p>
    <w:p w:rsidR="00AE0050" w:rsidRPr="00964DB3" w:rsidRDefault="00AE0050" w:rsidP="00BC49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
        <w:jc w:val="both"/>
      </w:pPr>
    </w:p>
    <w:p w:rsidR="004270F5" w:rsidRPr="00730E3F" w:rsidRDefault="004270F5" w:rsidP="00BC498F">
      <w:pPr>
        <w:widowControl w:val="0"/>
        <w:autoSpaceDE w:val="0"/>
        <w:autoSpaceDN w:val="0"/>
        <w:adjustRightInd w:val="0"/>
        <w:ind w:right="-2"/>
        <w:jc w:val="both"/>
      </w:pPr>
    </w:p>
    <w:p w:rsidR="00404BD5" w:rsidRPr="00730E3F" w:rsidRDefault="00404BD5" w:rsidP="00BC498F">
      <w:pPr>
        <w:ind w:right="-2"/>
      </w:pPr>
      <w:r w:rsidRPr="00730E3F">
        <w:t>Керівник Головного управління                                               С. Тихонюк</w:t>
      </w:r>
    </w:p>
    <w:p w:rsidR="00404BD5" w:rsidRPr="00730E3F" w:rsidRDefault="00404BD5" w:rsidP="00BC498F">
      <w:pPr>
        <w:ind w:right="-2"/>
        <w:jc w:val="both"/>
      </w:pPr>
    </w:p>
    <w:p w:rsidR="00404BD5" w:rsidRPr="00730E3F" w:rsidRDefault="00404BD5" w:rsidP="00BC498F">
      <w:pPr>
        <w:ind w:right="-2"/>
        <w:jc w:val="both"/>
      </w:pPr>
    </w:p>
    <w:p w:rsidR="00404BD5" w:rsidRPr="00730E3F" w:rsidRDefault="00404BD5" w:rsidP="00BC498F">
      <w:pPr>
        <w:ind w:right="-2"/>
        <w:jc w:val="both"/>
      </w:pPr>
      <w:r w:rsidRPr="00730E3F">
        <w:rPr>
          <w:sz w:val="20"/>
        </w:rPr>
        <w:t>Вик.: К. Вербицький, О. Олещенко</w:t>
      </w:r>
      <w:r w:rsidR="00782661">
        <w:rPr>
          <w:sz w:val="20"/>
        </w:rPr>
        <w:t xml:space="preserve"> </w:t>
      </w:r>
    </w:p>
    <w:p w:rsidR="00404BD5" w:rsidRDefault="00404BD5" w:rsidP="00BC498F">
      <w:pPr>
        <w:ind w:right="-2"/>
        <w:jc w:val="both"/>
      </w:pPr>
    </w:p>
    <w:p w:rsidR="00811D04" w:rsidRDefault="00811D04" w:rsidP="00BC498F">
      <w:pPr>
        <w:ind w:right="-2"/>
        <w:jc w:val="both"/>
      </w:pPr>
    </w:p>
    <w:p w:rsidR="00811D04" w:rsidRDefault="00811D04" w:rsidP="00BC498F">
      <w:pPr>
        <w:ind w:right="-2"/>
        <w:jc w:val="both"/>
      </w:pPr>
    </w:p>
    <w:p w:rsidR="00811D04" w:rsidRDefault="00811D04" w:rsidP="00BC498F">
      <w:pPr>
        <w:ind w:right="-2"/>
        <w:jc w:val="both"/>
      </w:pPr>
    </w:p>
    <w:sectPr w:rsidR="00811D04" w:rsidSect="00A70781">
      <w:headerReference w:type="default" r:id="rId6"/>
      <w:headerReference w:type="first" r:id="rId7"/>
      <w:pgSz w:w="11906" w:h="16838"/>
      <w:pgMar w:top="1134" w:right="851"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17E" w:rsidRDefault="005D317E" w:rsidP="00C95E24">
      <w:r>
        <w:separator/>
      </w:r>
    </w:p>
  </w:endnote>
  <w:endnote w:type="continuationSeparator" w:id="0">
    <w:p w:rsidR="005D317E" w:rsidRDefault="005D317E" w:rsidP="00C95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17E" w:rsidRDefault="005D317E" w:rsidP="00C95E24">
      <w:r>
        <w:separator/>
      </w:r>
    </w:p>
  </w:footnote>
  <w:footnote w:type="continuationSeparator" w:id="0">
    <w:p w:rsidR="005D317E" w:rsidRDefault="005D317E" w:rsidP="00C95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6737014"/>
      <w:docPartObj>
        <w:docPartGallery w:val="Page Numbers (Top of Page)"/>
        <w:docPartUnique/>
      </w:docPartObj>
    </w:sdtPr>
    <w:sdtEndPr/>
    <w:sdtContent>
      <w:p w:rsidR="00C95E24" w:rsidRDefault="00C95E24">
        <w:pPr>
          <w:pStyle w:val="a3"/>
          <w:jc w:val="right"/>
        </w:pPr>
        <w:r>
          <w:fldChar w:fldCharType="begin"/>
        </w:r>
        <w:r>
          <w:instrText>PAGE   \* MERGEFORMAT</w:instrText>
        </w:r>
        <w:r>
          <w:fldChar w:fldCharType="separate"/>
        </w:r>
        <w:r w:rsidR="002F5857">
          <w:rPr>
            <w:noProof/>
          </w:rPr>
          <w:t>4</w:t>
        </w:r>
        <w:r>
          <w:fldChar w:fldCharType="end"/>
        </w:r>
      </w:p>
    </w:sdtContent>
  </w:sdt>
  <w:p w:rsidR="00C95E24" w:rsidRPr="00C95E24" w:rsidRDefault="00C95E24" w:rsidP="00C95E24">
    <w:pPr>
      <w:pStyle w:val="a3"/>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E24" w:rsidRPr="00C95E24" w:rsidRDefault="00C95E24" w:rsidP="00C95E24">
    <w:pPr>
      <w:pStyle w:val="a3"/>
      <w:jc w:val="right"/>
      <w:rPr>
        <w:sz w:val="20"/>
        <w:szCs w:val="20"/>
      </w:rPr>
    </w:pPr>
    <w:r w:rsidRPr="00C95E24">
      <w:rPr>
        <w:sz w:val="20"/>
        <w:szCs w:val="20"/>
      </w:rPr>
      <w:t>До реєстр. № 2813-1 від 14.02.2020</w:t>
    </w:r>
  </w:p>
  <w:p w:rsidR="00C95E24" w:rsidRPr="00C95E24" w:rsidRDefault="00C95E24" w:rsidP="00C95E24">
    <w:pPr>
      <w:pStyle w:val="a3"/>
      <w:jc w:val="right"/>
      <w:rPr>
        <w:sz w:val="20"/>
        <w:szCs w:val="20"/>
      </w:rPr>
    </w:pPr>
    <w:r w:rsidRPr="00C95E24">
      <w:rPr>
        <w:sz w:val="20"/>
        <w:szCs w:val="20"/>
      </w:rPr>
      <w:t>Народний депутат України</w:t>
    </w:r>
  </w:p>
  <w:p w:rsidR="00C95E24" w:rsidRPr="00C95E24" w:rsidRDefault="00C95E24" w:rsidP="00C95E24">
    <w:pPr>
      <w:pStyle w:val="a3"/>
      <w:jc w:val="right"/>
      <w:rPr>
        <w:sz w:val="20"/>
        <w:szCs w:val="20"/>
      </w:rPr>
    </w:pPr>
    <w:r w:rsidRPr="00C95E24">
      <w:rPr>
        <w:sz w:val="20"/>
        <w:szCs w:val="20"/>
      </w:rPr>
      <w:t>Д. Чорний</w:t>
    </w:r>
  </w:p>
  <w:p w:rsidR="00C95E24" w:rsidRDefault="00C95E2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56E"/>
    <w:rsid w:val="00064D07"/>
    <w:rsid w:val="000A156E"/>
    <w:rsid w:val="000A1571"/>
    <w:rsid w:val="000D1155"/>
    <w:rsid w:val="0012778A"/>
    <w:rsid w:val="00144CEA"/>
    <w:rsid w:val="00155565"/>
    <w:rsid w:val="00187A6F"/>
    <w:rsid w:val="001B5391"/>
    <w:rsid w:val="001D6A01"/>
    <w:rsid w:val="00271D74"/>
    <w:rsid w:val="00283DB4"/>
    <w:rsid w:val="002C3CE8"/>
    <w:rsid w:val="002E0787"/>
    <w:rsid w:val="002F5857"/>
    <w:rsid w:val="00302F18"/>
    <w:rsid w:val="003632E1"/>
    <w:rsid w:val="0038495C"/>
    <w:rsid w:val="003A5CF6"/>
    <w:rsid w:val="003C40A0"/>
    <w:rsid w:val="003C4511"/>
    <w:rsid w:val="004010A4"/>
    <w:rsid w:val="00404BD5"/>
    <w:rsid w:val="00406DDF"/>
    <w:rsid w:val="004270F5"/>
    <w:rsid w:val="004371F5"/>
    <w:rsid w:val="00443C0D"/>
    <w:rsid w:val="0044562D"/>
    <w:rsid w:val="004719F4"/>
    <w:rsid w:val="00486F10"/>
    <w:rsid w:val="00495314"/>
    <w:rsid w:val="004A0503"/>
    <w:rsid w:val="005179E1"/>
    <w:rsid w:val="00596FF4"/>
    <w:rsid w:val="005D317E"/>
    <w:rsid w:val="00600075"/>
    <w:rsid w:val="006234B3"/>
    <w:rsid w:val="00632A5B"/>
    <w:rsid w:val="00645359"/>
    <w:rsid w:val="00646BE2"/>
    <w:rsid w:val="00653B8E"/>
    <w:rsid w:val="006A4798"/>
    <w:rsid w:val="00715133"/>
    <w:rsid w:val="00726C4D"/>
    <w:rsid w:val="00743784"/>
    <w:rsid w:val="00782661"/>
    <w:rsid w:val="00785E0E"/>
    <w:rsid w:val="007A6D7C"/>
    <w:rsid w:val="007D4059"/>
    <w:rsid w:val="00811D04"/>
    <w:rsid w:val="0084687A"/>
    <w:rsid w:val="008D35CA"/>
    <w:rsid w:val="00912663"/>
    <w:rsid w:val="00920098"/>
    <w:rsid w:val="00920A37"/>
    <w:rsid w:val="00986858"/>
    <w:rsid w:val="00A26FAE"/>
    <w:rsid w:val="00A70781"/>
    <w:rsid w:val="00AE0050"/>
    <w:rsid w:val="00B03AE9"/>
    <w:rsid w:val="00B11D4C"/>
    <w:rsid w:val="00B14925"/>
    <w:rsid w:val="00B62D43"/>
    <w:rsid w:val="00B74A91"/>
    <w:rsid w:val="00BC498F"/>
    <w:rsid w:val="00BE0718"/>
    <w:rsid w:val="00C03DCC"/>
    <w:rsid w:val="00C95E24"/>
    <w:rsid w:val="00CA4FC0"/>
    <w:rsid w:val="00D06D0C"/>
    <w:rsid w:val="00D84065"/>
    <w:rsid w:val="00D93674"/>
    <w:rsid w:val="00E018B3"/>
    <w:rsid w:val="00E04840"/>
    <w:rsid w:val="00E13CEB"/>
    <w:rsid w:val="00E31E21"/>
    <w:rsid w:val="00E506EE"/>
    <w:rsid w:val="00E81DD2"/>
    <w:rsid w:val="00EC222D"/>
    <w:rsid w:val="00F10A2D"/>
    <w:rsid w:val="00F254C6"/>
    <w:rsid w:val="00FA1E5F"/>
    <w:rsid w:val="00FC45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3ABAE8-A0CC-4CBF-B09B-7EEFC0DF5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15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5E24"/>
    <w:pPr>
      <w:tabs>
        <w:tab w:val="center" w:pos="4819"/>
        <w:tab w:val="right" w:pos="9639"/>
      </w:tabs>
    </w:pPr>
  </w:style>
  <w:style w:type="character" w:customStyle="1" w:styleId="a4">
    <w:name w:val="Верхній колонтитул Знак"/>
    <w:basedOn w:val="a0"/>
    <w:link w:val="a3"/>
    <w:uiPriority w:val="99"/>
    <w:rsid w:val="00C95E24"/>
  </w:style>
  <w:style w:type="paragraph" w:styleId="a5">
    <w:name w:val="footer"/>
    <w:basedOn w:val="a"/>
    <w:link w:val="a6"/>
    <w:uiPriority w:val="99"/>
    <w:unhideWhenUsed/>
    <w:rsid w:val="00C95E24"/>
    <w:pPr>
      <w:tabs>
        <w:tab w:val="center" w:pos="4819"/>
        <w:tab w:val="right" w:pos="9639"/>
      </w:tabs>
    </w:pPr>
  </w:style>
  <w:style w:type="character" w:customStyle="1" w:styleId="a6">
    <w:name w:val="Нижній колонтитул Знак"/>
    <w:basedOn w:val="a0"/>
    <w:link w:val="a5"/>
    <w:uiPriority w:val="99"/>
    <w:rsid w:val="00C95E24"/>
  </w:style>
  <w:style w:type="paragraph" w:styleId="a7">
    <w:name w:val="Body Text Indent"/>
    <w:basedOn w:val="a"/>
    <w:link w:val="a8"/>
    <w:rsid w:val="00404BD5"/>
    <w:pPr>
      <w:spacing w:after="120"/>
      <w:ind w:left="283" w:firstLine="0"/>
    </w:pPr>
    <w:rPr>
      <w:rFonts w:eastAsia="Times New Roman"/>
      <w:sz w:val="24"/>
      <w:szCs w:val="24"/>
      <w:lang w:eastAsia="ru-RU"/>
    </w:rPr>
  </w:style>
  <w:style w:type="character" w:customStyle="1" w:styleId="a8">
    <w:name w:val="Основний текст з відступом Знак"/>
    <w:basedOn w:val="a0"/>
    <w:link w:val="a7"/>
    <w:rsid w:val="00404BD5"/>
    <w:rPr>
      <w:rFonts w:eastAsia="Times New Roman"/>
      <w:sz w:val="24"/>
      <w:szCs w:val="24"/>
      <w:lang w:eastAsia="ru-RU"/>
    </w:rPr>
  </w:style>
  <w:style w:type="paragraph" w:styleId="a9">
    <w:name w:val="List Paragraph"/>
    <w:basedOn w:val="a"/>
    <w:uiPriority w:val="34"/>
    <w:qFormat/>
    <w:rsid w:val="00E31E21"/>
    <w:pPr>
      <w:ind w:left="720"/>
      <w:contextualSpacing/>
    </w:pPr>
  </w:style>
  <w:style w:type="character" w:customStyle="1" w:styleId="st42">
    <w:name w:val="st42"/>
    <w:uiPriority w:val="99"/>
    <w:rsid w:val="00F254C6"/>
    <w:rPr>
      <w:rFonts w:ascii="Times New Roman" w:hAnsi="Times New Roman" w:cs="Times New Roman"/>
      <w:color w:val="000000"/>
    </w:rPr>
  </w:style>
  <w:style w:type="character" w:customStyle="1" w:styleId="rvts0">
    <w:name w:val="rvts0"/>
    <w:basedOn w:val="a0"/>
    <w:rsid w:val="00AE0050"/>
  </w:style>
  <w:style w:type="character" w:customStyle="1" w:styleId="rvts23">
    <w:name w:val="rvts23"/>
    <w:basedOn w:val="a0"/>
    <w:rsid w:val="00AE0050"/>
  </w:style>
  <w:style w:type="character" w:customStyle="1" w:styleId="rvts9">
    <w:name w:val="rvts9"/>
    <w:basedOn w:val="a0"/>
    <w:rsid w:val="00AE0050"/>
  </w:style>
  <w:style w:type="paragraph" w:styleId="aa">
    <w:name w:val="Body Text"/>
    <w:basedOn w:val="a"/>
    <w:link w:val="ab"/>
    <w:uiPriority w:val="99"/>
    <w:unhideWhenUsed/>
    <w:rsid w:val="00596FF4"/>
    <w:pPr>
      <w:spacing w:after="120"/>
    </w:pPr>
  </w:style>
  <w:style w:type="character" w:customStyle="1" w:styleId="ab">
    <w:name w:val="Основний текст Знак"/>
    <w:basedOn w:val="a0"/>
    <w:link w:val="aa"/>
    <w:uiPriority w:val="99"/>
    <w:rsid w:val="00596FF4"/>
  </w:style>
  <w:style w:type="paragraph" w:styleId="ac">
    <w:name w:val="Balloon Text"/>
    <w:basedOn w:val="a"/>
    <w:link w:val="ad"/>
    <w:uiPriority w:val="99"/>
    <w:semiHidden/>
    <w:unhideWhenUsed/>
    <w:rsid w:val="003A5CF6"/>
    <w:rPr>
      <w:rFonts w:ascii="Segoe UI" w:hAnsi="Segoe UI" w:cs="Segoe UI"/>
      <w:sz w:val="18"/>
      <w:szCs w:val="18"/>
    </w:rPr>
  </w:style>
  <w:style w:type="character" w:customStyle="1" w:styleId="ad">
    <w:name w:val="Текст у виносці Знак"/>
    <w:basedOn w:val="a0"/>
    <w:link w:val="ac"/>
    <w:uiPriority w:val="99"/>
    <w:semiHidden/>
    <w:rsid w:val="003A5CF6"/>
    <w:rPr>
      <w:rFonts w:ascii="Segoe UI" w:hAnsi="Segoe UI" w:cs="Segoe UI"/>
      <w:sz w:val="18"/>
      <w:szCs w:val="18"/>
    </w:rPr>
  </w:style>
  <w:style w:type="character" w:customStyle="1" w:styleId="st24">
    <w:name w:val="st24"/>
    <w:uiPriority w:val="99"/>
    <w:rsid w:val="00495314"/>
    <w:rPr>
      <w:rFonts w:ascii="Times New Roman" w:hAnsi="Times New Roman"/>
      <w:b/>
      <w:bCs/>
      <w:color w:val="000000"/>
      <w:sz w:val="32"/>
      <w:szCs w:val="32"/>
    </w:rPr>
  </w:style>
  <w:style w:type="character" w:customStyle="1" w:styleId="rvts44">
    <w:name w:val="rvts44"/>
    <w:rsid w:val="00283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571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6294</Words>
  <Characters>3589</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Вербицький Костянтин Олександрович</dc:creator>
  <cp:keywords/>
  <dc:description/>
  <cp:lastModifiedBy>Інна Григорівна Лопотуха</cp:lastModifiedBy>
  <cp:revision>2</cp:revision>
  <cp:lastPrinted>2020-03-10T10:58:00Z</cp:lastPrinted>
  <dcterms:created xsi:type="dcterms:W3CDTF">2020-03-10T15:23:00Z</dcterms:created>
  <dcterms:modified xsi:type="dcterms:W3CDTF">2020-03-10T15:23:00Z</dcterms:modified>
</cp:coreProperties>
</file>