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51F" w:rsidRPr="00D94135" w:rsidRDefault="0089351F" w:rsidP="005407A6">
      <w:pPr>
        <w:pStyle w:val="a6"/>
        <w:spacing w:line="240" w:lineRule="auto"/>
        <w:ind w:right="0" w:firstLine="720"/>
        <w:rPr>
          <w:b w:val="0"/>
          <w:color w:val="auto"/>
          <w:spacing w:val="0"/>
          <w:szCs w:val="28"/>
        </w:rPr>
      </w:pPr>
    </w:p>
    <w:p w:rsidR="0089351F" w:rsidRPr="00D94135" w:rsidRDefault="0089351F" w:rsidP="005407A6">
      <w:pPr>
        <w:pStyle w:val="a6"/>
        <w:spacing w:line="240" w:lineRule="auto"/>
        <w:ind w:right="0"/>
        <w:rPr>
          <w:color w:val="auto"/>
          <w:spacing w:val="0"/>
          <w:szCs w:val="28"/>
        </w:rPr>
      </w:pPr>
      <w:r w:rsidRPr="00D94135">
        <w:rPr>
          <w:color w:val="auto"/>
          <w:spacing w:val="0"/>
          <w:szCs w:val="28"/>
        </w:rPr>
        <w:t>ПОЯСНЮВАЛЬНА ЗАПИСКА</w:t>
      </w:r>
    </w:p>
    <w:p w:rsidR="00D374FB" w:rsidRPr="00D94135" w:rsidRDefault="00D374FB" w:rsidP="005407A6">
      <w:pPr>
        <w:pStyle w:val="aa"/>
        <w:ind w:right="0" w:firstLine="0"/>
        <w:rPr>
          <w:b/>
          <w:szCs w:val="28"/>
        </w:rPr>
      </w:pPr>
    </w:p>
    <w:p w:rsidR="005407A6" w:rsidRPr="00D94135" w:rsidRDefault="00DC1BFD" w:rsidP="005407A6">
      <w:pPr>
        <w:jc w:val="center"/>
        <w:rPr>
          <w:b/>
          <w:sz w:val="28"/>
          <w:szCs w:val="28"/>
        </w:rPr>
      </w:pPr>
      <w:bookmarkStart w:id="0" w:name="bookmark4"/>
      <w:r w:rsidRPr="00D94135">
        <w:rPr>
          <w:b/>
          <w:iCs/>
          <w:sz w:val="28"/>
          <w:szCs w:val="28"/>
        </w:rPr>
        <w:t xml:space="preserve">до </w:t>
      </w:r>
      <w:bookmarkEnd w:id="0"/>
      <w:r w:rsidR="003F3E93" w:rsidRPr="00D94135">
        <w:rPr>
          <w:b/>
          <w:iCs/>
          <w:sz w:val="28"/>
          <w:szCs w:val="28"/>
        </w:rPr>
        <w:t>проекту Закону України</w:t>
      </w:r>
    </w:p>
    <w:p w:rsidR="005407A6" w:rsidRPr="00D94135" w:rsidRDefault="005407A6" w:rsidP="005407A6">
      <w:pPr>
        <w:jc w:val="center"/>
        <w:rPr>
          <w:b/>
          <w:sz w:val="28"/>
          <w:szCs w:val="28"/>
        </w:rPr>
      </w:pPr>
      <w:r w:rsidRPr="00D94135">
        <w:rPr>
          <w:b/>
          <w:sz w:val="28"/>
          <w:szCs w:val="28"/>
        </w:rPr>
        <w:t>«Про внесення змін до Закону України «Про судоустрій і статус суддів»</w:t>
      </w:r>
    </w:p>
    <w:p w:rsidR="005407A6" w:rsidRPr="00D94135" w:rsidRDefault="005407A6" w:rsidP="005407A6">
      <w:pPr>
        <w:jc w:val="center"/>
        <w:rPr>
          <w:rStyle w:val="rvts9"/>
          <w:b/>
          <w:sz w:val="28"/>
          <w:szCs w:val="28"/>
        </w:rPr>
      </w:pPr>
      <w:r w:rsidRPr="00D94135">
        <w:rPr>
          <w:b/>
          <w:sz w:val="28"/>
          <w:szCs w:val="28"/>
        </w:rPr>
        <w:t xml:space="preserve">(щодо притягнення до дисциплінарної відповідальності судді, який виніс рішення з  порушенням </w:t>
      </w:r>
      <w:r w:rsidRPr="00D94135">
        <w:rPr>
          <w:rStyle w:val="rvts9"/>
          <w:b/>
          <w:sz w:val="28"/>
          <w:szCs w:val="28"/>
        </w:rPr>
        <w:t>меж застосування обмежень прав)»</w:t>
      </w:r>
    </w:p>
    <w:p w:rsidR="005407A6" w:rsidRPr="00D94135" w:rsidRDefault="005407A6" w:rsidP="00934C91">
      <w:pPr>
        <w:rPr>
          <w:rStyle w:val="rvts9"/>
          <w:sz w:val="28"/>
          <w:szCs w:val="28"/>
        </w:rPr>
      </w:pPr>
    </w:p>
    <w:p w:rsidR="00635D1A" w:rsidRPr="00D94135" w:rsidRDefault="00635D1A" w:rsidP="005407A6">
      <w:pPr>
        <w:ind w:firstLine="720"/>
        <w:jc w:val="center"/>
        <w:rPr>
          <w:sz w:val="28"/>
          <w:szCs w:val="28"/>
        </w:rPr>
      </w:pPr>
    </w:p>
    <w:p w:rsidR="00B76B3E" w:rsidRPr="00D94135" w:rsidRDefault="0089351F" w:rsidP="005407A6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ind w:left="0"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>Обґрунтування необхідності прийняття акта</w:t>
      </w:r>
      <w:r w:rsidR="00F57996" w:rsidRPr="00D94135">
        <w:rPr>
          <w:b/>
          <w:bCs/>
          <w:sz w:val="28"/>
          <w:szCs w:val="28"/>
        </w:rPr>
        <w:t>.</w:t>
      </w:r>
    </w:p>
    <w:p w:rsidR="009F07EA" w:rsidRPr="00D94135" w:rsidRDefault="009F07EA" w:rsidP="005407A6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>У Конституції України визначається, що Україна є правовою державою (стаття 1);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6); в Україні визнається і діє принцип верховенства права;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(частини перша-друга статті 8); судоустрій, судочинство визначаються виключно законами України (пункт 14 частини першої статті 92 Основного Закону України).</w:t>
      </w:r>
    </w:p>
    <w:p w:rsidR="009F07EA" w:rsidRPr="00D94135" w:rsidRDefault="009F07EA" w:rsidP="005407A6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>Відповідно до висновку Європейської комісії «За демократію через право» (Венеційської комісії) для Конституційного Суду Республіки Молдова про право регресу держави до суддів від 13 червня 2016 року                                     № CDL-AD (2016)015 відповідальність суддів є допустимою лише за умови свідомого (умисного або з огляду на грубу недбалість) вчинення відповідного проступку. Тому відповідальність суддів, спричинена негативним рішенням ЄСПЛ, повинна ґрунтуватися виключно на висновку національного суду про наявність умислу або грубої недбалості в діях судді (підпункти «а», «с» пункту 77); помилкові рішення необхідно оскаржувати в межах апеляційного провадження, а не притягати суддів до індивідуальної відповідальності, крім випадків, коли помилка виникла внаслідок умислу або грубої недбалості з боку судді (пункти 77-79).</w:t>
      </w:r>
    </w:p>
    <w:p w:rsidR="009F07EA" w:rsidRPr="00D94135" w:rsidRDefault="009F07EA" w:rsidP="005407A6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>Стаття 18 Конвенції про захист прав людини і основоположних свобод не застосовується автономно, вона може застосовуватися лише у поєднанні зі статтею цієї Конвенції або Протоколами до неї, які визначають або обмежують права та свободи, які Високі Договірні Сторони зобов’язалися забезпечувати тим, хто знаходиться в їх юрисдикції (рішення ЄСПЛ у справах «Тимошенко проти України», «Луценко проти України», «Мерабішвілі проти Грузії»).</w:t>
      </w:r>
    </w:p>
    <w:p w:rsidR="009F07EA" w:rsidRPr="00D94135" w:rsidRDefault="009F07EA" w:rsidP="009F07EA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Мета появи статті 18 простежується у матеріалах засідань Нарадчої Асамблеї Ради Європи, які проходили у 1949 році з метою розробити остаточний проект ЄКПЛ. Так, П’єр-Анрі Тетжен (представник Франції) під час представлення проекту статті 18 фактично надав тлумачення імпліцитного (прихованого) змісту статті, аналогічне сучасному підходу ЄСПЛ: «Коли держава визначає, організовує, регламентує, обмежує свободи для кращого забезпечення громадського інтересу, держава лише виконує свій обов'язок. Це йому дозволено, це легітимно. Але коли воно втручається, щоб ліквідувати, </w:t>
      </w:r>
      <w:r w:rsidRPr="00D94135">
        <w:rPr>
          <w:sz w:val="28"/>
          <w:szCs w:val="28"/>
          <w:lang w:val="uk-UA"/>
        </w:rPr>
        <w:lastRenderedPageBreak/>
        <w:t>обмежити свободи в ім'я державних інтересів, щоб захистити себе, (...) проти опозиції, яку вона вважає небезпечною, щоб знищити основоположну свободу, яку воно повинно було б координувати і гарантувати, таке втручання держави направлено проти суспільного інтересу».</w:t>
      </w:r>
    </w:p>
    <w:p w:rsidR="009F07EA" w:rsidRPr="00D94135" w:rsidRDefault="009F07EA" w:rsidP="009F07EA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>Анал</w:t>
      </w:r>
      <w:r w:rsidR="00CB29B1" w:rsidRPr="00D94135">
        <w:rPr>
          <w:sz w:val="28"/>
          <w:szCs w:val="28"/>
          <w:lang w:val="uk-UA"/>
        </w:rPr>
        <w:t>огічні тези трактування статті н</w:t>
      </w:r>
      <w:r w:rsidRPr="00D94135">
        <w:rPr>
          <w:sz w:val="28"/>
          <w:szCs w:val="28"/>
          <w:lang w:val="uk-UA"/>
        </w:rPr>
        <w:t xml:space="preserve">адав представник </w:t>
      </w:r>
      <w:r w:rsidR="00CB29B1" w:rsidRPr="00D94135">
        <w:rPr>
          <w:sz w:val="28"/>
          <w:szCs w:val="28"/>
          <w:lang w:val="uk-UA"/>
        </w:rPr>
        <w:t>І</w:t>
      </w:r>
      <w:r w:rsidRPr="00D94135">
        <w:rPr>
          <w:sz w:val="28"/>
          <w:szCs w:val="28"/>
          <w:lang w:val="uk-UA"/>
        </w:rPr>
        <w:t>тал</w:t>
      </w:r>
      <w:r w:rsidR="00CB29B1" w:rsidRPr="00D94135">
        <w:rPr>
          <w:sz w:val="28"/>
          <w:szCs w:val="28"/>
          <w:lang w:val="uk-UA"/>
        </w:rPr>
        <w:t>ії</w:t>
      </w:r>
      <w:r w:rsidRPr="00D94135">
        <w:rPr>
          <w:sz w:val="28"/>
          <w:szCs w:val="28"/>
          <w:lang w:val="uk-UA"/>
        </w:rPr>
        <w:t xml:space="preserve"> Людовік Бенвенуті: «На мій погляд, ми повинні боятися сьогодні не того, що тоталітаризм захопить владу силою, а того, що тоталітаризм спробує закріпитися при владі шляхом псевдозаконів.».</w:t>
      </w:r>
    </w:p>
    <w:p w:rsidR="007D4F9D" w:rsidRPr="00D94135" w:rsidRDefault="007B2A61" w:rsidP="005407A6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>Неодноразово  Європейськ</w:t>
      </w:r>
      <w:r w:rsidR="00635D1A" w:rsidRPr="00D94135">
        <w:rPr>
          <w:sz w:val="28"/>
          <w:szCs w:val="28"/>
          <w:lang w:val="uk-UA"/>
        </w:rPr>
        <w:t>ий</w:t>
      </w:r>
      <w:r w:rsidRPr="00D94135">
        <w:rPr>
          <w:sz w:val="28"/>
          <w:szCs w:val="28"/>
          <w:lang w:val="uk-UA"/>
        </w:rPr>
        <w:t xml:space="preserve"> суд з прав людини </w:t>
      </w:r>
      <w:r w:rsidR="00635D1A" w:rsidRPr="00D94135">
        <w:rPr>
          <w:sz w:val="28"/>
          <w:szCs w:val="28"/>
          <w:lang w:val="uk-UA"/>
        </w:rPr>
        <w:t>наголошував про недопустимість порушення меж обмеження прав при винесенні рішень національними судами (найпоширенішим є п</w:t>
      </w:r>
      <w:r w:rsidRPr="00D94135">
        <w:rPr>
          <w:sz w:val="28"/>
          <w:szCs w:val="28"/>
          <w:lang w:val="uk-UA"/>
        </w:rPr>
        <w:t>орушенн</w:t>
      </w:r>
      <w:r w:rsidR="00635D1A" w:rsidRPr="00D94135">
        <w:rPr>
          <w:sz w:val="28"/>
          <w:szCs w:val="28"/>
          <w:lang w:val="uk-UA"/>
        </w:rPr>
        <w:t>я</w:t>
      </w:r>
      <w:r w:rsidRPr="00D94135">
        <w:rPr>
          <w:sz w:val="28"/>
          <w:szCs w:val="28"/>
          <w:lang w:val="uk-UA"/>
        </w:rPr>
        <w:t xml:space="preserve"> прав і свобод з політичною метою</w:t>
      </w:r>
      <w:r w:rsidR="00635D1A" w:rsidRPr="00D94135">
        <w:rPr>
          <w:sz w:val="28"/>
          <w:szCs w:val="28"/>
          <w:lang w:val="uk-UA"/>
        </w:rPr>
        <w:t>)</w:t>
      </w:r>
      <w:r w:rsidRPr="00D94135">
        <w:rPr>
          <w:sz w:val="28"/>
          <w:szCs w:val="28"/>
          <w:lang w:val="uk-UA"/>
        </w:rPr>
        <w:t xml:space="preserve">. </w:t>
      </w:r>
      <w:r w:rsidR="00635D1A" w:rsidRPr="00D94135">
        <w:rPr>
          <w:sz w:val="28"/>
          <w:szCs w:val="28"/>
          <w:lang w:val="uk-UA"/>
        </w:rPr>
        <w:t>Мова йде</w:t>
      </w:r>
      <w:r w:rsidR="00EB728A" w:rsidRPr="00D94135">
        <w:rPr>
          <w:sz w:val="28"/>
          <w:szCs w:val="28"/>
          <w:lang w:val="uk-UA"/>
        </w:rPr>
        <w:t xml:space="preserve"> про</w:t>
      </w:r>
      <w:r w:rsidRPr="00D94135">
        <w:rPr>
          <w:sz w:val="28"/>
          <w:szCs w:val="28"/>
          <w:lang w:val="uk-UA"/>
        </w:rPr>
        <w:t xml:space="preserve"> застосування статті 18 Європейської Конвенції про захист прав людини та основоположних свобод, якою визначено: </w:t>
      </w:r>
      <w:r w:rsidRPr="00D94135">
        <w:rPr>
          <w:iCs/>
          <w:sz w:val="28"/>
          <w:szCs w:val="28"/>
          <w:lang w:val="uk-UA"/>
        </w:rPr>
        <w:t xml:space="preserve">«Обмеження, дозволені згідно з цією Конвенцією щодо зазначених прав і свобод, не застосовуються для інших цілей ніж ті, для яких вони встановлені». </w:t>
      </w:r>
      <w:r w:rsidRPr="00D94135">
        <w:rPr>
          <w:sz w:val="28"/>
          <w:szCs w:val="28"/>
          <w:lang w:val="uk-UA"/>
        </w:rPr>
        <w:t xml:space="preserve">Європейський Суд неодноразово стверджував, що вираження політичних поглядів має більший ступінь захисту, так само як й обґрунтування обмеження діяльності політичних партій у порівнянні з іншими об’єднаннями мають бути перевірені з більшою прискіпливістю. </w:t>
      </w:r>
    </w:p>
    <w:p w:rsidR="007D4F9D" w:rsidRPr="00D94135" w:rsidRDefault="007B2A61" w:rsidP="007D4F9D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Європейський суд розглянув понад 200 справ щодо можливого порушення статті 18 Конвенції. </w:t>
      </w:r>
    </w:p>
    <w:p w:rsidR="007D4F9D" w:rsidRPr="00D94135" w:rsidRDefault="007D4F9D" w:rsidP="007D4F9D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В Україні є два випадки, коли Суд встановив порушення статті 18 </w:t>
      </w:r>
      <w:r w:rsidR="00CB29B1" w:rsidRPr="00D94135">
        <w:rPr>
          <w:sz w:val="28"/>
          <w:szCs w:val="28"/>
          <w:lang w:val="uk-UA"/>
        </w:rPr>
        <w:t>Конвенції</w:t>
      </w:r>
      <w:r w:rsidRPr="00D94135">
        <w:rPr>
          <w:sz w:val="28"/>
          <w:szCs w:val="28"/>
          <w:lang w:val="uk-UA"/>
        </w:rPr>
        <w:t>. У справі «Тимошенко проти України» основною підставою для визнання судом порушення ст. 18 у прив’язці до ст.  Конвенції щодо обрання заявниці запобіжного заходу у вигляді тримання під вартою стало особисте дослідження Судом обставин справи (пар. 269-270): суд вказує, що (1) у наказі про тримання під вартою не було надано будь-яких доказів, що заявниця порушувала міру запобіжного заходу у вигляді «обов’язку не залишати місто», яка тривала останні 4 місяці до винесення рішення про тримання під вартою; (2) факт не підписання нею повідомлень про заплановані судові засідання, вірогідні зриви у роботі пошти щодо доставки заявниці листів від Суду - не заважали їй виконувати усі процесуальні функції; (3) відмова заявниці назвати свою адресу не мала будь-якого значення для справи, оскільки адреса вже була вказана у матеріалах справи; (4) запізнення на декілька хвилин на судове засідання не давало підстав проголошувати про «відсутність співробітництва з судом» з її боку; (5) з сукупності наданих підстав як обґрунтування для тримання під вартою неможливо заключити наявність будь-якого ризику ухилення заявниці від правосуддя; (6) за контекстом справи та заявою прокурора щодо необхідності обрання як запобіжного заходу тримання під вартою випливає, що основною причиною стало її нібито перешкоджання провадженню та зневажлива поведінка, що не є причиною, яка б виправдала обмеження волі згідно пар. 1 ст. 5 Конвенції.</w:t>
      </w:r>
    </w:p>
    <w:p w:rsidR="007D4F9D" w:rsidRPr="00D94135" w:rsidRDefault="007D4F9D" w:rsidP="007D4F9D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У справі «Луценко проти України» аргументи заявника полягали у тому, що (1) він є професійним політиком вже 20 років; (2) він вважався одним з двох найбільш помітних лідерів опозиції; (3) його звинувачення стосувалися його </w:t>
      </w:r>
      <w:r w:rsidRPr="00D94135">
        <w:rPr>
          <w:sz w:val="28"/>
          <w:szCs w:val="28"/>
          <w:lang w:val="uk-UA"/>
        </w:rPr>
        <w:lastRenderedPageBreak/>
        <w:t>діяльності на посту міністра ВС; (4) медіа поширювали зображення його за гратами, чим умисно створювали думку громадськості про нього як про небезпечного злочинця; (5) переслідування опозиції відмічалися багатьма національними та міжнародними спостерігачами (пар. 103).</w:t>
      </w:r>
    </w:p>
    <w:p w:rsidR="0042636A" w:rsidRPr="00D94135" w:rsidRDefault="007D4F9D" w:rsidP="007D4F9D">
      <w:pPr>
        <w:pStyle w:val="af"/>
        <w:spacing w:before="0" w:beforeAutospacing="0" w:after="0" w:afterAutospacing="0"/>
        <w:ind w:firstLine="720"/>
        <w:jc w:val="both"/>
        <w:rPr>
          <w:rStyle w:val="rvts9"/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А відтак, винесення суддею рішення з порушенням статті 18 Конвенції </w:t>
      </w:r>
      <w:r w:rsidRPr="00D94135">
        <w:rPr>
          <w:b/>
          <w:sz w:val="28"/>
          <w:szCs w:val="28"/>
          <w:lang w:val="uk-UA"/>
        </w:rPr>
        <w:t>є завжди політично-мотивованим</w:t>
      </w:r>
      <w:r w:rsidRPr="00D94135">
        <w:rPr>
          <w:sz w:val="28"/>
          <w:szCs w:val="28"/>
          <w:lang w:val="uk-UA"/>
        </w:rPr>
        <w:t xml:space="preserve"> та </w:t>
      </w:r>
      <w:r w:rsidR="0042636A" w:rsidRPr="00D94135">
        <w:rPr>
          <w:sz w:val="28"/>
          <w:szCs w:val="28"/>
          <w:lang w:val="uk-UA"/>
        </w:rPr>
        <w:t xml:space="preserve">визнання Європейським судом з прав людини порушення українськими суддями принципів Конвенції свідчить про </w:t>
      </w:r>
      <w:r w:rsidR="007B2A61" w:rsidRPr="00D94135">
        <w:rPr>
          <w:sz w:val="28"/>
          <w:szCs w:val="28"/>
          <w:lang w:val="uk-UA"/>
        </w:rPr>
        <w:t>необ’єктивний та упереджений розгляд справи</w:t>
      </w:r>
      <w:r w:rsidR="0042636A" w:rsidRPr="00D94135">
        <w:rPr>
          <w:sz w:val="28"/>
          <w:szCs w:val="28"/>
          <w:lang w:val="uk-UA"/>
        </w:rPr>
        <w:t xml:space="preserve">, </w:t>
      </w:r>
      <w:r w:rsidRPr="00D94135">
        <w:rPr>
          <w:b/>
          <w:sz w:val="28"/>
          <w:szCs w:val="28"/>
          <w:lang w:val="uk-UA"/>
        </w:rPr>
        <w:t>умисне</w:t>
      </w:r>
      <w:r w:rsidRPr="00D94135">
        <w:rPr>
          <w:sz w:val="28"/>
          <w:szCs w:val="28"/>
          <w:lang w:val="uk-UA"/>
        </w:rPr>
        <w:t xml:space="preserve"> </w:t>
      </w:r>
      <w:r w:rsidRPr="00D94135">
        <w:rPr>
          <w:b/>
          <w:sz w:val="28"/>
          <w:szCs w:val="28"/>
          <w:lang w:val="uk-UA"/>
        </w:rPr>
        <w:t>прийняття незаконного рішення,</w:t>
      </w:r>
      <w:r w:rsidRPr="00D94135">
        <w:rPr>
          <w:sz w:val="28"/>
          <w:szCs w:val="28"/>
          <w:lang w:val="uk-UA"/>
        </w:rPr>
        <w:t xml:space="preserve"> </w:t>
      </w:r>
      <w:r w:rsidR="007B2A61" w:rsidRPr="00D94135">
        <w:rPr>
          <w:sz w:val="28"/>
          <w:szCs w:val="28"/>
          <w:lang w:val="uk-UA"/>
        </w:rPr>
        <w:t xml:space="preserve">порочить звання судді, а отже, є </w:t>
      </w:r>
      <w:r w:rsidR="00635D1A" w:rsidRPr="00D94135">
        <w:rPr>
          <w:sz w:val="28"/>
          <w:szCs w:val="28"/>
          <w:lang w:val="uk-UA"/>
        </w:rPr>
        <w:t>істотним дисциплінарним проступком, що є несумісний зі статусом судді та виявляє його невідповідність займаній посаді</w:t>
      </w:r>
      <w:r w:rsidR="007B2A61" w:rsidRPr="00D94135">
        <w:rPr>
          <w:sz w:val="28"/>
          <w:szCs w:val="28"/>
          <w:lang w:val="uk-UA"/>
        </w:rPr>
        <w:t xml:space="preserve">. Суддя, який виніс рішення з  порушенням </w:t>
      </w:r>
      <w:r w:rsidR="007B2A61" w:rsidRPr="00D94135">
        <w:rPr>
          <w:rStyle w:val="rvts9"/>
          <w:sz w:val="28"/>
          <w:szCs w:val="28"/>
          <w:lang w:val="uk-UA"/>
        </w:rPr>
        <w:t>меж застосування обмежень прав, ді</w:t>
      </w:r>
      <w:r w:rsidR="00635D1A" w:rsidRPr="00D94135">
        <w:rPr>
          <w:rStyle w:val="rvts9"/>
          <w:sz w:val="28"/>
          <w:szCs w:val="28"/>
          <w:lang w:val="uk-UA"/>
        </w:rPr>
        <w:t>яв</w:t>
      </w:r>
      <w:r w:rsidR="007B2A61" w:rsidRPr="00D94135">
        <w:rPr>
          <w:rStyle w:val="rvts9"/>
          <w:sz w:val="28"/>
          <w:szCs w:val="28"/>
          <w:lang w:val="uk-UA"/>
        </w:rPr>
        <w:t xml:space="preserve"> з</w:t>
      </w:r>
      <w:r w:rsidR="00635D1A" w:rsidRPr="00D94135">
        <w:rPr>
          <w:rStyle w:val="rvts9"/>
          <w:sz w:val="28"/>
          <w:szCs w:val="28"/>
          <w:lang w:val="uk-UA"/>
        </w:rPr>
        <w:t xml:space="preserve"> порушенням вимог законодавства та норм моралі.</w:t>
      </w:r>
      <w:r w:rsidR="007B2A61" w:rsidRPr="00D94135">
        <w:rPr>
          <w:rStyle w:val="rvts9"/>
          <w:sz w:val="28"/>
          <w:szCs w:val="28"/>
          <w:lang w:val="uk-UA"/>
        </w:rPr>
        <w:t xml:space="preserve"> </w:t>
      </w:r>
    </w:p>
    <w:p w:rsidR="0042636A" w:rsidRPr="00D94135" w:rsidRDefault="00635D1A" w:rsidP="005407A6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Статтею </w:t>
      </w:r>
      <w:r w:rsidR="007B2A61" w:rsidRPr="00D94135">
        <w:rPr>
          <w:sz w:val="28"/>
          <w:szCs w:val="28"/>
          <w:lang w:val="uk-UA"/>
        </w:rPr>
        <w:t>3 Конституції</w:t>
      </w:r>
      <w:r w:rsidRPr="00D94135">
        <w:rPr>
          <w:sz w:val="28"/>
          <w:szCs w:val="28"/>
          <w:lang w:val="uk-UA"/>
        </w:rPr>
        <w:t xml:space="preserve"> України</w:t>
      </w:r>
      <w:r w:rsidR="007B2A61" w:rsidRPr="00D94135">
        <w:rPr>
          <w:sz w:val="28"/>
          <w:szCs w:val="28"/>
          <w:lang w:val="uk-UA"/>
        </w:rPr>
        <w:t xml:space="preserve"> передбачено, що людина, її життя і здоров’я, честь і гідність, недоторканність і безпека визнаються в Україні найвищою соціальною цінністю. Права і свободи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обов’язком держави. Відповідно до ст.19 Конституції</w:t>
      </w:r>
      <w:r w:rsidRPr="00D94135">
        <w:rPr>
          <w:sz w:val="28"/>
          <w:szCs w:val="28"/>
          <w:lang w:val="uk-UA"/>
        </w:rPr>
        <w:t xml:space="preserve"> України</w:t>
      </w:r>
      <w:r w:rsidR="007B2A61" w:rsidRPr="00D94135">
        <w:rPr>
          <w:sz w:val="28"/>
          <w:szCs w:val="28"/>
          <w:lang w:val="uk-UA"/>
        </w:rPr>
        <w:t xml:space="preserve">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законами. </w:t>
      </w:r>
    </w:p>
    <w:p w:rsidR="00934C91" w:rsidRPr="00D94135" w:rsidRDefault="007B2A61" w:rsidP="005407A6">
      <w:pPr>
        <w:pStyle w:val="rvps2"/>
        <w:spacing w:before="0" w:beforeAutospacing="0" w:after="0" w:afterAutospacing="0"/>
        <w:ind w:firstLine="720"/>
        <w:jc w:val="both"/>
        <w:rPr>
          <w:rStyle w:val="rvts9"/>
          <w:i/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Статтею 126 Конституції України передбачено, </w:t>
      </w:r>
      <w:r w:rsidR="0071498F" w:rsidRPr="00D94135">
        <w:rPr>
          <w:sz w:val="28"/>
          <w:szCs w:val="28"/>
          <w:lang w:val="uk-UA"/>
        </w:rPr>
        <w:t>що підставами для звільнення судді є:</w:t>
      </w:r>
      <w:bookmarkStart w:id="1" w:name="n5177"/>
      <w:bookmarkStart w:id="2" w:name="n5179"/>
      <w:bookmarkEnd w:id="1"/>
      <w:bookmarkEnd w:id="2"/>
      <w:r w:rsidR="0071498F" w:rsidRPr="00D94135">
        <w:rPr>
          <w:sz w:val="28"/>
          <w:szCs w:val="28"/>
          <w:lang w:val="uk-UA"/>
        </w:rPr>
        <w:t xml:space="preserve"> вчинення істотного дисциплінарного проступку, грубе чи систематичне нехтування обов’язками, що є несумісним зі статусом судді або виявило його невідповідність займаній посаді. Саме до істотного дисциплінарного проступку, грубого нехтування обов’язків слід віднести порушенням </w:t>
      </w:r>
      <w:r w:rsidR="0071498F" w:rsidRPr="00D94135">
        <w:rPr>
          <w:rStyle w:val="rvts9"/>
          <w:sz w:val="28"/>
          <w:szCs w:val="28"/>
          <w:lang w:val="uk-UA"/>
        </w:rPr>
        <w:t xml:space="preserve">меж застосування обмежень прав (в контексті ст. 18 Конвенції), в тому числі </w:t>
      </w:r>
      <w:r w:rsidR="007D4F9D" w:rsidRPr="00D94135">
        <w:rPr>
          <w:rStyle w:val="rvts9"/>
          <w:sz w:val="28"/>
          <w:szCs w:val="28"/>
          <w:lang w:val="uk-UA"/>
        </w:rPr>
        <w:t>на</w:t>
      </w:r>
      <w:r w:rsidR="0071498F" w:rsidRPr="00D94135">
        <w:rPr>
          <w:rStyle w:val="rvts9"/>
          <w:sz w:val="28"/>
          <w:szCs w:val="28"/>
          <w:lang w:val="uk-UA"/>
        </w:rPr>
        <w:t xml:space="preserve"> виконання політичних вказівок. До судді має бути застосована найвища міра дисциплінарного стягнення, в разі якщо Європейський суд з прав людини винесе рішення щодо порушення </w:t>
      </w:r>
      <w:r w:rsidR="0042636A" w:rsidRPr="00D94135">
        <w:rPr>
          <w:rStyle w:val="rvts9"/>
          <w:sz w:val="28"/>
          <w:szCs w:val="28"/>
          <w:lang w:val="uk-UA"/>
        </w:rPr>
        <w:t xml:space="preserve">національним </w:t>
      </w:r>
      <w:r w:rsidR="0071498F" w:rsidRPr="00D94135">
        <w:rPr>
          <w:rStyle w:val="rvts9"/>
          <w:sz w:val="28"/>
          <w:szCs w:val="28"/>
          <w:lang w:val="uk-UA"/>
        </w:rPr>
        <w:t>судовим рішенням судді ст</w:t>
      </w:r>
      <w:r w:rsidR="00635D1A" w:rsidRPr="00D94135">
        <w:rPr>
          <w:rStyle w:val="rvts9"/>
          <w:sz w:val="28"/>
          <w:szCs w:val="28"/>
          <w:lang w:val="uk-UA"/>
        </w:rPr>
        <w:t>атті</w:t>
      </w:r>
      <w:r w:rsidR="0071498F" w:rsidRPr="00D94135">
        <w:rPr>
          <w:rStyle w:val="rvts9"/>
          <w:sz w:val="28"/>
          <w:szCs w:val="28"/>
          <w:lang w:val="uk-UA"/>
        </w:rPr>
        <w:t xml:space="preserve"> 18 Конвенції, </w:t>
      </w:r>
      <w:r w:rsidR="0071498F" w:rsidRPr="00D94135">
        <w:rPr>
          <w:rStyle w:val="rvts9"/>
          <w:i/>
          <w:sz w:val="28"/>
          <w:szCs w:val="28"/>
          <w:lang w:val="uk-UA"/>
        </w:rPr>
        <w:t xml:space="preserve">адже таке порушення </w:t>
      </w:r>
      <w:r w:rsidR="00635D1A" w:rsidRPr="00D94135">
        <w:rPr>
          <w:rStyle w:val="rvts9"/>
          <w:i/>
          <w:sz w:val="28"/>
          <w:szCs w:val="28"/>
          <w:lang w:val="uk-UA"/>
        </w:rPr>
        <w:t>свідчить</w:t>
      </w:r>
      <w:r w:rsidR="0071498F" w:rsidRPr="00D94135">
        <w:rPr>
          <w:rStyle w:val="rvts9"/>
          <w:i/>
          <w:sz w:val="28"/>
          <w:szCs w:val="28"/>
          <w:lang w:val="uk-UA"/>
        </w:rPr>
        <w:t xml:space="preserve"> про зловживання службовим становищем, некомпетентність та непрофесіоналізм</w:t>
      </w:r>
      <w:r w:rsidR="0042636A" w:rsidRPr="00D94135">
        <w:rPr>
          <w:rStyle w:val="rvts9"/>
          <w:i/>
          <w:sz w:val="28"/>
          <w:szCs w:val="28"/>
          <w:lang w:val="uk-UA"/>
        </w:rPr>
        <w:t xml:space="preserve"> судді</w:t>
      </w:r>
      <w:r w:rsidR="0071498F" w:rsidRPr="00D94135">
        <w:rPr>
          <w:rStyle w:val="rvts9"/>
          <w:i/>
          <w:sz w:val="28"/>
          <w:szCs w:val="28"/>
          <w:lang w:val="uk-UA"/>
        </w:rPr>
        <w:t>,</w:t>
      </w:r>
      <w:r w:rsidR="00635D1A" w:rsidRPr="00D94135">
        <w:rPr>
          <w:rStyle w:val="rvts9"/>
          <w:i/>
          <w:sz w:val="28"/>
          <w:szCs w:val="28"/>
          <w:lang w:val="uk-UA"/>
        </w:rPr>
        <w:t xml:space="preserve"> можливі</w:t>
      </w:r>
      <w:r w:rsidR="0071498F" w:rsidRPr="00D94135">
        <w:rPr>
          <w:rStyle w:val="rvts9"/>
          <w:i/>
          <w:sz w:val="28"/>
          <w:szCs w:val="28"/>
          <w:lang w:val="uk-UA"/>
        </w:rPr>
        <w:t xml:space="preserve"> незаконний вплив на суддю,  виконання політичних вказівок, наявність корупційної складової</w:t>
      </w:r>
      <w:r w:rsidR="00EC1E53" w:rsidRPr="00D94135">
        <w:rPr>
          <w:rStyle w:val="rvts9"/>
          <w:i/>
          <w:sz w:val="28"/>
          <w:szCs w:val="28"/>
          <w:lang w:val="uk-UA"/>
        </w:rPr>
        <w:t>, а головне, встановлено, що суддя діяв не законно.</w:t>
      </w:r>
    </w:p>
    <w:p w:rsidR="007B2A61" w:rsidRPr="00D94135" w:rsidRDefault="00D94CC1" w:rsidP="00D94CC1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rStyle w:val="rvts9"/>
          <w:sz w:val="28"/>
          <w:szCs w:val="28"/>
          <w:lang w:val="uk-UA"/>
        </w:rPr>
        <w:t>Підстава притягнення судді до дисциплінарної відповідальності з підстави порушення саме статті 18 Конвенції зумовлена запитом суспільства на в</w:t>
      </w:r>
      <w:r w:rsidR="00B76B3E" w:rsidRPr="00D94135">
        <w:rPr>
          <w:sz w:val="28"/>
          <w:szCs w:val="28"/>
          <w:lang w:val="uk-UA" w:eastAsia="ru-RU"/>
        </w:rPr>
        <w:t>ідновлення довіри до судівництва,</w:t>
      </w:r>
      <w:r w:rsidR="00B76B3E" w:rsidRPr="00D94135">
        <w:rPr>
          <w:rStyle w:val="rvts9"/>
          <w:sz w:val="28"/>
          <w:szCs w:val="28"/>
          <w:lang w:val="uk-UA"/>
        </w:rPr>
        <w:t xml:space="preserve"> </w:t>
      </w:r>
      <w:r w:rsidR="0071498F" w:rsidRPr="00D94135">
        <w:rPr>
          <w:rStyle w:val="rvts9"/>
          <w:sz w:val="28"/>
          <w:szCs w:val="28"/>
          <w:lang w:val="uk-UA"/>
        </w:rPr>
        <w:t>вжиття превентивних заходів, заходів з очищення судової влади</w:t>
      </w:r>
      <w:r w:rsidR="00B76B3E" w:rsidRPr="00D94135">
        <w:rPr>
          <w:rStyle w:val="rvts9"/>
          <w:sz w:val="28"/>
          <w:szCs w:val="28"/>
          <w:lang w:val="uk-UA"/>
        </w:rPr>
        <w:t xml:space="preserve"> від не</w:t>
      </w:r>
      <w:r w:rsidR="00635D1A" w:rsidRPr="00D94135">
        <w:rPr>
          <w:rStyle w:val="rvts9"/>
          <w:sz w:val="28"/>
          <w:szCs w:val="28"/>
          <w:lang w:val="uk-UA"/>
        </w:rPr>
        <w:t xml:space="preserve"> </w:t>
      </w:r>
      <w:r w:rsidR="00B76B3E" w:rsidRPr="00D94135">
        <w:rPr>
          <w:rStyle w:val="rvts9"/>
          <w:sz w:val="28"/>
          <w:szCs w:val="28"/>
          <w:lang w:val="uk-UA"/>
        </w:rPr>
        <w:t>доброчесних суддів</w:t>
      </w:r>
      <w:r w:rsidR="0071498F" w:rsidRPr="00D94135">
        <w:rPr>
          <w:rStyle w:val="rvts9"/>
          <w:sz w:val="28"/>
          <w:szCs w:val="28"/>
          <w:lang w:val="uk-UA"/>
        </w:rPr>
        <w:t xml:space="preserve">, забезпечення прав і свобод людини </w:t>
      </w:r>
      <w:r w:rsidR="0042636A" w:rsidRPr="00D94135">
        <w:rPr>
          <w:rStyle w:val="rvts9"/>
          <w:sz w:val="28"/>
          <w:szCs w:val="28"/>
          <w:lang w:val="uk-UA"/>
        </w:rPr>
        <w:t>та</w:t>
      </w:r>
      <w:r w:rsidR="0071498F" w:rsidRPr="00D94135">
        <w:rPr>
          <w:rStyle w:val="rvts9"/>
          <w:sz w:val="28"/>
          <w:szCs w:val="28"/>
          <w:lang w:val="uk-UA"/>
        </w:rPr>
        <w:t xml:space="preserve"> громадянина є обов’язком держави</w:t>
      </w:r>
      <w:r w:rsidRPr="00D94135">
        <w:rPr>
          <w:rStyle w:val="rvts9"/>
          <w:sz w:val="28"/>
          <w:szCs w:val="28"/>
          <w:lang w:val="uk-UA"/>
        </w:rPr>
        <w:t>, не уможливлення прийняття політичних рішень суддями, тиску на суд суб’єктами владних повноважень, використання суду з метою розправи над політичними опонентами.</w:t>
      </w:r>
      <w:r w:rsidR="0071498F" w:rsidRPr="00D94135">
        <w:rPr>
          <w:sz w:val="28"/>
          <w:szCs w:val="28"/>
          <w:lang w:val="uk-UA" w:eastAsia="ru-RU"/>
        </w:rPr>
        <w:tab/>
      </w:r>
    </w:p>
    <w:p w:rsidR="00F54393" w:rsidRPr="00D94135" w:rsidRDefault="008E45D7" w:rsidP="005407A6">
      <w:pPr>
        <w:shd w:val="clear" w:color="auto" w:fill="FFFFFF"/>
        <w:tabs>
          <w:tab w:val="num" w:pos="1276"/>
        </w:tabs>
        <w:jc w:val="both"/>
        <w:rPr>
          <w:sz w:val="28"/>
          <w:szCs w:val="28"/>
        </w:rPr>
      </w:pPr>
      <w:r w:rsidRPr="00D94135">
        <w:rPr>
          <w:sz w:val="28"/>
          <w:szCs w:val="28"/>
        </w:rPr>
        <w:tab/>
      </w:r>
    </w:p>
    <w:p w:rsidR="003227BF" w:rsidRPr="00D94135" w:rsidRDefault="003227BF" w:rsidP="005407A6">
      <w:pPr>
        <w:shd w:val="clear" w:color="auto" w:fill="FFFFFF"/>
        <w:tabs>
          <w:tab w:val="num" w:pos="1276"/>
        </w:tabs>
        <w:jc w:val="both"/>
        <w:rPr>
          <w:b/>
          <w:bCs/>
          <w:sz w:val="28"/>
          <w:szCs w:val="28"/>
        </w:rPr>
      </w:pPr>
    </w:p>
    <w:p w:rsidR="00ED25C0" w:rsidRPr="00D94135" w:rsidRDefault="00B76B3E" w:rsidP="005407A6">
      <w:pPr>
        <w:shd w:val="clear" w:color="auto" w:fill="FFFFFF"/>
        <w:tabs>
          <w:tab w:val="left" w:pos="567"/>
          <w:tab w:val="num" w:pos="1276"/>
        </w:tabs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sz w:val="28"/>
          <w:szCs w:val="28"/>
        </w:rPr>
        <w:lastRenderedPageBreak/>
        <w:t xml:space="preserve">  </w:t>
      </w:r>
      <w:r w:rsidR="000174B2" w:rsidRPr="00D94135">
        <w:rPr>
          <w:b/>
          <w:sz w:val="28"/>
          <w:szCs w:val="28"/>
        </w:rPr>
        <w:t xml:space="preserve"> 2. </w:t>
      </w:r>
      <w:r w:rsidR="0089351F" w:rsidRPr="00D94135">
        <w:rPr>
          <w:b/>
          <w:sz w:val="28"/>
          <w:szCs w:val="28"/>
        </w:rPr>
        <w:t>Мета і шляхи її досягнення</w:t>
      </w:r>
      <w:r w:rsidR="005407A6" w:rsidRPr="00D94135">
        <w:rPr>
          <w:b/>
          <w:sz w:val="28"/>
          <w:szCs w:val="28"/>
        </w:rPr>
        <w:t>.</w:t>
      </w:r>
    </w:p>
    <w:p w:rsidR="00B76B3E" w:rsidRPr="00D94135" w:rsidRDefault="005407A6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 xml:space="preserve">   </w:t>
      </w:r>
      <w:r w:rsidR="00B76B3E" w:rsidRPr="00D94135">
        <w:rPr>
          <w:sz w:val="28"/>
          <w:szCs w:val="28"/>
        </w:rPr>
        <w:t>Метою законопроекту є удосконалення правового механізму забезпечення права особи на справедливий суд, підвищення ефективності діяльності судової системи, удосконалення дисциплінарної відповідальності суддів. Прийняття та реалізація цих заходів дозволить посилити утвердження в суспільстві верховенства права та законності, сприятиме відновленню довіри до суду і суддів.</w:t>
      </w:r>
    </w:p>
    <w:p w:rsidR="00ED25C0" w:rsidRPr="00D94135" w:rsidRDefault="00ED25C0" w:rsidP="005407A6">
      <w:pPr>
        <w:pStyle w:val="aa"/>
        <w:ind w:right="0" w:firstLine="720"/>
        <w:jc w:val="both"/>
        <w:rPr>
          <w:szCs w:val="28"/>
        </w:rPr>
      </w:pPr>
    </w:p>
    <w:p w:rsidR="00B76B3E" w:rsidRPr="00D94135" w:rsidRDefault="005407A6" w:rsidP="005407A6">
      <w:pPr>
        <w:ind w:firstLine="720"/>
        <w:contextualSpacing/>
        <w:jc w:val="both"/>
        <w:rPr>
          <w:b/>
          <w:sz w:val="28"/>
          <w:szCs w:val="28"/>
          <w:lang w:eastAsia="uk-UA"/>
        </w:rPr>
      </w:pPr>
      <w:r w:rsidRPr="00D94135">
        <w:rPr>
          <w:bCs/>
          <w:sz w:val="28"/>
          <w:szCs w:val="28"/>
        </w:rPr>
        <w:t xml:space="preserve">    </w:t>
      </w:r>
      <w:r w:rsidR="00216C54" w:rsidRPr="00D94135">
        <w:rPr>
          <w:b/>
          <w:bCs/>
          <w:sz w:val="28"/>
          <w:szCs w:val="28"/>
        </w:rPr>
        <w:t xml:space="preserve">3. </w:t>
      </w:r>
      <w:r w:rsidR="00F54393" w:rsidRPr="00D94135">
        <w:rPr>
          <w:b/>
          <w:bCs/>
          <w:sz w:val="28"/>
          <w:szCs w:val="28"/>
        </w:rPr>
        <w:t xml:space="preserve"> </w:t>
      </w:r>
      <w:r w:rsidR="00F54393" w:rsidRPr="00D94135">
        <w:rPr>
          <w:b/>
          <w:sz w:val="28"/>
          <w:szCs w:val="28"/>
          <w:lang w:eastAsia="uk-UA"/>
        </w:rPr>
        <w:t>Загальна характеристика і основні положення законопроекту</w:t>
      </w:r>
      <w:r w:rsidRPr="00D94135">
        <w:rPr>
          <w:b/>
          <w:sz w:val="28"/>
          <w:szCs w:val="28"/>
          <w:lang w:eastAsia="uk-UA"/>
        </w:rPr>
        <w:t>.</w:t>
      </w:r>
    </w:p>
    <w:p w:rsidR="00E24BC0" w:rsidRPr="00D94135" w:rsidRDefault="005407A6" w:rsidP="005407A6">
      <w:pPr>
        <w:pStyle w:val="rvps2"/>
        <w:tabs>
          <w:tab w:val="num" w:pos="90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94135">
        <w:rPr>
          <w:sz w:val="28"/>
          <w:szCs w:val="28"/>
          <w:lang w:val="uk-UA"/>
        </w:rPr>
        <w:t xml:space="preserve">   </w:t>
      </w:r>
      <w:r w:rsidR="00B76B3E" w:rsidRPr="00D94135">
        <w:rPr>
          <w:sz w:val="28"/>
          <w:szCs w:val="28"/>
          <w:lang w:val="uk-UA"/>
        </w:rPr>
        <w:t>У Законі України «Про судоустрій і статус</w:t>
      </w:r>
      <w:r w:rsidR="00EC1E53" w:rsidRPr="00D94135">
        <w:rPr>
          <w:sz w:val="28"/>
          <w:szCs w:val="28"/>
          <w:lang w:val="uk-UA"/>
        </w:rPr>
        <w:t xml:space="preserve"> суддів» пропонується визначити: «Істотним дисциплінарним проступком, що є несумісним зі статусом судді та виявляє його невідповідність займаній посаді є винесення суддею рішення з порушенням статті 18 Конвенції про захист прав людини і основоположних свобод, що встановлено Рішенням Європейського Суду з прав людини, яке набрало статусу остаточного або винесення суддею рішення, яким залишено без змін рішення суду нижчої інстанції, яким порушено статтю 18 Конвенції про захист прав людини і основоположних свобод, що встановлено Рішенням Європейського Суду з прав людини, яке набрало статусу остаточного.».</w:t>
      </w:r>
    </w:p>
    <w:p w:rsidR="00F54393" w:rsidRPr="00D94135" w:rsidRDefault="00F54393" w:rsidP="005407A6">
      <w:pPr>
        <w:ind w:firstLine="720"/>
        <w:jc w:val="both"/>
        <w:rPr>
          <w:bCs/>
          <w:sz w:val="28"/>
          <w:szCs w:val="28"/>
        </w:rPr>
      </w:pPr>
    </w:p>
    <w:p w:rsidR="005407A6" w:rsidRPr="00D94135" w:rsidRDefault="00216C54" w:rsidP="005407A6">
      <w:pPr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>4.</w:t>
      </w:r>
      <w:r w:rsidR="00F54393" w:rsidRPr="00D94135">
        <w:rPr>
          <w:b/>
          <w:bCs/>
          <w:sz w:val="28"/>
          <w:szCs w:val="28"/>
        </w:rPr>
        <w:t xml:space="preserve"> Стан нормативно-правової бази у даній сфері правового регулювання</w:t>
      </w:r>
      <w:r w:rsidR="005407A6" w:rsidRPr="00D94135">
        <w:rPr>
          <w:b/>
          <w:bCs/>
          <w:sz w:val="28"/>
          <w:szCs w:val="28"/>
        </w:rPr>
        <w:t>.</w:t>
      </w:r>
    </w:p>
    <w:p w:rsidR="00F54393" w:rsidRPr="00D94135" w:rsidRDefault="00ED25C0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ED25C0" w:rsidRPr="00D94135" w:rsidRDefault="00ED25C0" w:rsidP="005407A6">
      <w:pPr>
        <w:jc w:val="both"/>
        <w:rPr>
          <w:sz w:val="28"/>
          <w:szCs w:val="28"/>
        </w:rPr>
      </w:pPr>
    </w:p>
    <w:p w:rsidR="00F54393" w:rsidRPr="00D94135" w:rsidRDefault="00216C54" w:rsidP="005407A6">
      <w:pPr>
        <w:tabs>
          <w:tab w:val="left" w:pos="1080"/>
        </w:tabs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 xml:space="preserve">5. </w:t>
      </w:r>
      <w:r w:rsidR="00F54393" w:rsidRPr="00D94135">
        <w:rPr>
          <w:b/>
          <w:bCs/>
          <w:sz w:val="28"/>
          <w:szCs w:val="28"/>
        </w:rPr>
        <w:tab/>
        <w:t>Фінансово-економічне обґрунтування</w:t>
      </w:r>
      <w:r w:rsidR="005407A6" w:rsidRPr="00D94135">
        <w:rPr>
          <w:b/>
          <w:bCs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bCs/>
          <w:sz w:val="28"/>
          <w:szCs w:val="28"/>
        </w:rPr>
      </w:pPr>
      <w:r w:rsidRPr="00D94135">
        <w:rPr>
          <w:bCs/>
          <w:sz w:val="28"/>
          <w:szCs w:val="28"/>
        </w:rPr>
        <w:t>Прийняття проекту Закону не потребуватиме додаткових витрат з Державного бюджету України</w:t>
      </w:r>
      <w:r w:rsidR="006D34FA" w:rsidRPr="00D94135">
        <w:rPr>
          <w:bCs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bCs/>
          <w:sz w:val="28"/>
          <w:szCs w:val="28"/>
        </w:rPr>
      </w:pPr>
    </w:p>
    <w:p w:rsidR="00F54393" w:rsidRPr="00D94135" w:rsidRDefault="00216C54" w:rsidP="005407A6">
      <w:pPr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 xml:space="preserve">6. </w:t>
      </w:r>
      <w:r w:rsidR="00F54393" w:rsidRPr="00D94135">
        <w:rPr>
          <w:b/>
          <w:bCs/>
          <w:sz w:val="28"/>
          <w:szCs w:val="28"/>
        </w:rPr>
        <w:t xml:space="preserve"> Регіональний аспект</w:t>
      </w:r>
      <w:r w:rsidR="005407A6" w:rsidRPr="00D94135">
        <w:rPr>
          <w:b/>
          <w:bCs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 xml:space="preserve">Проект Закону не стосується питання розвитку адміністративно-територіальних одиниць. 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</w:p>
    <w:p w:rsidR="00F54393" w:rsidRPr="00D94135" w:rsidRDefault="00216C54" w:rsidP="005407A6">
      <w:pPr>
        <w:ind w:firstLine="720"/>
        <w:contextualSpacing/>
        <w:jc w:val="both"/>
        <w:rPr>
          <w:b/>
          <w:sz w:val="28"/>
          <w:szCs w:val="28"/>
        </w:rPr>
      </w:pPr>
      <w:r w:rsidRPr="00D94135">
        <w:rPr>
          <w:b/>
          <w:sz w:val="28"/>
          <w:szCs w:val="28"/>
        </w:rPr>
        <w:t xml:space="preserve">7. </w:t>
      </w:r>
      <w:r w:rsidR="00F54393" w:rsidRPr="00D94135">
        <w:rPr>
          <w:b/>
          <w:sz w:val="28"/>
          <w:szCs w:val="28"/>
        </w:rPr>
        <w:t xml:space="preserve"> Запобігання дискримінації</w:t>
      </w:r>
      <w:r w:rsidR="005407A6" w:rsidRPr="00D94135">
        <w:rPr>
          <w:b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contextualSpacing/>
        <w:jc w:val="both"/>
        <w:rPr>
          <w:sz w:val="28"/>
          <w:szCs w:val="28"/>
        </w:rPr>
      </w:pPr>
      <w:r w:rsidRPr="00D94135">
        <w:rPr>
          <w:sz w:val="28"/>
          <w:szCs w:val="28"/>
        </w:rPr>
        <w:t>У проекті відсутні положення, що містять ознаки дискримінації.</w:t>
      </w:r>
    </w:p>
    <w:p w:rsidR="00F54393" w:rsidRPr="00D94135" w:rsidRDefault="00F54393" w:rsidP="005407A6">
      <w:pPr>
        <w:ind w:firstLine="720"/>
        <w:jc w:val="both"/>
        <w:rPr>
          <w:b/>
          <w:bCs/>
          <w:sz w:val="28"/>
          <w:szCs w:val="28"/>
        </w:rPr>
      </w:pPr>
    </w:p>
    <w:p w:rsidR="00F54393" w:rsidRPr="00D94135" w:rsidRDefault="00216C54" w:rsidP="005407A6">
      <w:pPr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 xml:space="preserve">8. </w:t>
      </w:r>
      <w:r w:rsidR="00F54393" w:rsidRPr="00D94135">
        <w:rPr>
          <w:b/>
          <w:bCs/>
          <w:sz w:val="28"/>
          <w:szCs w:val="28"/>
        </w:rPr>
        <w:t xml:space="preserve"> Запобігання корупції</w:t>
      </w:r>
      <w:r w:rsidR="005407A6" w:rsidRPr="00D94135">
        <w:rPr>
          <w:b/>
          <w:bCs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  <w:r w:rsidR="00ED25C0" w:rsidRPr="00D94135">
        <w:rPr>
          <w:sz w:val="28"/>
          <w:szCs w:val="28"/>
        </w:rPr>
        <w:t xml:space="preserve">Натомість законопроект спрямований на унеможливлення вчинення корупційних правопорушень </w:t>
      </w:r>
      <w:r w:rsidR="007B2A61" w:rsidRPr="00D94135">
        <w:rPr>
          <w:sz w:val="28"/>
          <w:szCs w:val="28"/>
        </w:rPr>
        <w:t>при здійсненні правосуддя</w:t>
      </w:r>
      <w:r w:rsidR="005407A6" w:rsidRPr="00D94135">
        <w:rPr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</w:p>
    <w:p w:rsidR="00F54393" w:rsidRPr="00D94135" w:rsidRDefault="00216C54" w:rsidP="005407A6">
      <w:pPr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>9</w:t>
      </w:r>
      <w:r w:rsidR="00F54393" w:rsidRPr="00D94135">
        <w:rPr>
          <w:b/>
          <w:bCs/>
          <w:sz w:val="28"/>
          <w:szCs w:val="28"/>
        </w:rPr>
        <w:t>. Позиція соціальних партнерів</w:t>
      </w:r>
      <w:r w:rsidR="005407A6" w:rsidRPr="00D94135">
        <w:rPr>
          <w:b/>
          <w:bCs/>
          <w:sz w:val="28"/>
          <w:szCs w:val="28"/>
        </w:rPr>
        <w:t>.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 xml:space="preserve">Проект Закону не стосується соціально-трудової сфери та не потребує узгодження із уповноваженими представниками всеукраїнських профспілок, </w:t>
      </w:r>
      <w:r w:rsidRPr="00D94135">
        <w:rPr>
          <w:sz w:val="28"/>
          <w:szCs w:val="28"/>
        </w:rPr>
        <w:lastRenderedPageBreak/>
        <w:t>їх об'єднань та всеукраїнських об'єднань організацій роботодавців.</w:t>
      </w:r>
    </w:p>
    <w:p w:rsidR="00F54393" w:rsidRPr="00D94135" w:rsidRDefault="00F54393" w:rsidP="005407A6">
      <w:pPr>
        <w:ind w:firstLine="720"/>
        <w:jc w:val="both"/>
        <w:rPr>
          <w:sz w:val="28"/>
          <w:szCs w:val="28"/>
        </w:rPr>
      </w:pPr>
    </w:p>
    <w:p w:rsidR="00F54393" w:rsidRPr="00D94135" w:rsidRDefault="00216C54" w:rsidP="005407A6">
      <w:pPr>
        <w:ind w:firstLine="720"/>
        <w:jc w:val="both"/>
        <w:rPr>
          <w:b/>
          <w:bCs/>
          <w:sz w:val="28"/>
          <w:szCs w:val="28"/>
        </w:rPr>
      </w:pPr>
      <w:r w:rsidRPr="00D94135">
        <w:rPr>
          <w:b/>
          <w:bCs/>
          <w:sz w:val="28"/>
          <w:szCs w:val="28"/>
        </w:rPr>
        <w:t>10</w:t>
      </w:r>
      <w:r w:rsidR="00F54393" w:rsidRPr="00D94135">
        <w:rPr>
          <w:b/>
          <w:bCs/>
          <w:sz w:val="28"/>
          <w:szCs w:val="28"/>
        </w:rPr>
        <w:t>. Прогноз соціально-економічних та інших наслідків прийняття проекту Закону</w:t>
      </w:r>
      <w:r w:rsidR="005407A6" w:rsidRPr="00D94135">
        <w:rPr>
          <w:b/>
          <w:bCs/>
          <w:sz w:val="28"/>
          <w:szCs w:val="28"/>
        </w:rPr>
        <w:t>.</w:t>
      </w:r>
    </w:p>
    <w:p w:rsidR="00ED25C0" w:rsidRPr="00D94135" w:rsidRDefault="00B76B3E" w:rsidP="005407A6">
      <w:pPr>
        <w:ind w:firstLine="720"/>
        <w:jc w:val="both"/>
        <w:rPr>
          <w:sz w:val="28"/>
          <w:szCs w:val="28"/>
        </w:rPr>
      </w:pPr>
      <w:r w:rsidRPr="00D94135">
        <w:rPr>
          <w:sz w:val="28"/>
          <w:szCs w:val="28"/>
        </w:rPr>
        <w:t>Прийняття цього законопроекту сприятиме забезпеченню права на справедливий суд, посиленню авторитету судової влади, відновленню довіри громадян до судової системи, удосконаленню роботи судової системи</w:t>
      </w:r>
      <w:r w:rsidR="00934C91" w:rsidRPr="00D94135">
        <w:rPr>
          <w:sz w:val="28"/>
          <w:szCs w:val="28"/>
        </w:rPr>
        <w:t>, недопустимості тиску на суд з боку інших гілок влади та суб’єктів політичного процесу</w:t>
      </w:r>
      <w:r w:rsidRPr="00D94135">
        <w:rPr>
          <w:sz w:val="28"/>
          <w:szCs w:val="28"/>
        </w:rPr>
        <w:t>. Очищення судової системи від осіб, що не відповідають критеріям професійності, сприятиме підвищенню неупередженості, законності та справедливості правосуддя.</w:t>
      </w:r>
    </w:p>
    <w:p w:rsidR="007B1834" w:rsidRPr="00D94135" w:rsidRDefault="007B1834" w:rsidP="005407A6">
      <w:pPr>
        <w:ind w:firstLine="720"/>
        <w:jc w:val="both"/>
        <w:rPr>
          <w:sz w:val="28"/>
          <w:szCs w:val="28"/>
        </w:rPr>
      </w:pPr>
    </w:p>
    <w:p w:rsidR="007B1834" w:rsidRPr="00D94135" w:rsidRDefault="007B1834" w:rsidP="005407A6">
      <w:pPr>
        <w:ind w:firstLine="720"/>
        <w:jc w:val="both"/>
        <w:rPr>
          <w:sz w:val="28"/>
          <w:szCs w:val="28"/>
        </w:rPr>
      </w:pPr>
    </w:p>
    <w:p w:rsidR="007B1834" w:rsidRPr="00D94135" w:rsidRDefault="007B1834" w:rsidP="005407A6">
      <w:pPr>
        <w:ind w:firstLine="720"/>
        <w:jc w:val="both"/>
        <w:rPr>
          <w:sz w:val="28"/>
          <w:szCs w:val="28"/>
        </w:rPr>
      </w:pPr>
    </w:p>
    <w:p w:rsidR="007B1834" w:rsidRPr="00D94135" w:rsidRDefault="007B1834" w:rsidP="005407A6">
      <w:pPr>
        <w:ind w:firstLine="720"/>
        <w:jc w:val="both"/>
        <w:rPr>
          <w:sz w:val="28"/>
          <w:szCs w:val="28"/>
        </w:rPr>
      </w:pPr>
    </w:p>
    <w:p w:rsidR="00ED25C0" w:rsidRPr="00D94135" w:rsidRDefault="00ED25C0" w:rsidP="005407A6">
      <w:pPr>
        <w:ind w:firstLine="720"/>
        <w:jc w:val="both"/>
        <w:rPr>
          <w:sz w:val="28"/>
          <w:szCs w:val="28"/>
        </w:rPr>
      </w:pPr>
    </w:p>
    <w:p w:rsidR="00503999" w:rsidRPr="00D94135" w:rsidRDefault="00447774" w:rsidP="005407A6">
      <w:pPr>
        <w:jc w:val="both"/>
        <w:rPr>
          <w:b/>
          <w:sz w:val="28"/>
          <w:szCs w:val="28"/>
        </w:rPr>
      </w:pPr>
      <w:r w:rsidRPr="00D94135">
        <w:rPr>
          <w:b/>
          <w:sz w:val="28"/>
          <w:szCs w:val="28"/>
        </w:rPr>
        <w:t xml:space="preserve"> </w:t>
      </w:r>
      <w:r w:rsidR="00616015" w:rsidRPr="00D94135">
        <w:rPr>
          <w:b/>
          <w:sz w:val="28"/>
          <w:szCs w:val="28"/>
        </w:rPr>
        <w:t>Народн</w:t>
      </w:r>
      <w:r w:rsidR="00932F8E" w:rsidRPr="00D94135">
        <w:rPr>
          <w:b/>
          <w:sz w:val="28"/>
          <w:szCs w:val="28"/>
        </w:rPr>
        <w:t>ий</w:t>
      </w:r>
      <w:r w:rsidR="00616015" w:rsidRPr="00D94135">
        <w:rPr>
          <w:b/>
          <w:sz w:val="28"/>
          <w:szCs w:val="28"/>
        </w:rPr>
        <w:t xml:space="preserve"> </w:t>
      </w:r>
      <w:r w:rsidR="000174B2" w:rsidRPr="00D94135">
        <w:rPr>
          <w:b/>
          <w:sz w:val="28"/>
          <w:szCs w:val="28"/>
        </w:rPr>
        <w:t>депутат</w:t>
      </w:r>
      <w:r w:rsidR="00C11945" w:rsidRPr="00D94135">
        <w:rPr>
          <w:b/>
          <w:sz w:val="28"/>
          <w:szCs w:val="28"/>
        </w:rPr>
        <w:t xml:space="preserve">   </w:t>
      </w:r>
      <w:r w:rsidR="000174B2" w:rsidRPr="00D94135">
        <w:rPr>
          <w:b/>
          <w:sz w:val="28"/>
          <w:szCs w:val="28"/>
        </w:rPr>
        <w:t xml:space="preserve">України         </w:t>
      </w:r>
      <w:r w:rsidR="00151BD2" w:rsidRPr="00D94135">
        <w:rPr>
          <w:b/>
          <w:sz w:val="28"/>
          <w:szCs w:val="28"/>
        </w:rPr>
        <w:t xml:space="preserve">  </w:t>
      </w:r>
      <w:r w:rsidR="005407A6" w:rsidRPr="00D94135">
        <w:rPr>
          <w:b/>
          <w:sz w:val="28"/>
          <w:szCs w:val="28"/>
        </w:rPr>
        <w:t xml:space="preserve">         </w:t>
      </w:r>
      <w:r w:rsidR="00635D1A" w:rsidRPr="00D94135">
        <w:rPr>
          <w:b/>
          <w:sz w:val="28"/>
          <w:szCs w:val="28"/>
        </w:rPr>
        <w:t xml:space="preserve">   </w:t>
      </w:r>
      <w:r w:rsidR="000174B2" w:rsidRPr="00D94135">
        <w:rPr>
          <w:b/>
          <w:sz w:val="28"/>
          <w:szCs w:val="28"/>
        </w:rPr>
        <w:t xml:space="preserve">  </w:t>
      </w:r>
      <w:r w:rsidR="00503999" w:rsidRPr="00D94135">
        <w:rPr>
          <w:b/>
          <w:sz w:val="28"/>
          <w:szCs w:val="28"/>
        </w:rPr>
        <w:t xml:space="preserve">                  </w:t>
      </w:r>
      <w:r w:rsidR="000174B2" w:rsidRPr="00D94135">
        <w:rPr>
          <w:b/>
          <w:sz w:val="28"/>
          <w:szCs w:val="28"/>
        </w:rPr>
        <w:t xml:space="preserve"> </w:t>
      </w:r>
      <w:r w:rsidR="00503999" w:rsidRPr="00D94135">
        <w:rPr>
          <w:b/>
          <w:sz w:val="28"/>
          <w:szCs w:val="28"/>
        </w:rPr>
        <w:t xml:space="preserve">С. В. Власенко      </w:t>
      </w:r>
    </w:p>
    <w:p w:rsidR="0097034F" w:rsidRPr="00D94135" w:rsidRDefault="00503999" w:rsidP="005407A6">
      <w:pPr>
        <w:ind w:firstLine="720"/>
        <w:jc w:val="both"/>
        <w:rPr>
          <w:i/>
          <w:sz w:val="28"/>
          <w:szCs w:val="28"/>
        </w:rPr>
      </w:pPr>
      <w:r w:rsidRPr="00D94135">
        <w:rPr>
          <w:b/>
          <w:sz w:val="28"/>
          <w:szCs w:val="28"/>
        </w:rPr>
        <w:t xml:space="preserve">                                                                                </w:t>
      </w:r>
      <w:r w:rsidR="00B76B3E" w:rsidRPr="00D94135">
        <w:rPr>
          <w:b/>
          <w:sz w:val="28"/>
          <w:szCs w:val="28"/>
        </w:rPr>
        <w:t xml:space="preserve">  </w:t>
      </w:r>
      <w:r w:rsidR="005407A6" w:rsidRPr="00D94135">
        <w:rPr>
          <w:b/>
          <w:sz w:val="28"/>
          <w:szCs w:val="28"/>
        </w:rPr>
        <w:t xml:space="preserve">    </w:t>
      </w:r>
      <w:r w:rsidR="00B76B3E" w:rsidRPr="00D94135">
        <w:rPr>
          <w:b/>
          <w:sz w:val="28"/>
          <w:szCs w:val="28"/>
        </w:rPr>
        <w:t xml:space="preserve"> </w:t>
      </w:r>
      <w:r w:rsidRPr="00D94135">
        <w:rPr>
          <w:b/>
          <w:sz w:val="28"/>
          <w:szCs w:val="28"/>
        </w:rPr>
        <w:t xml:space="preserve">    </w:t>
      </w:r>
      <w:r w:rsidRPr="00D94135">
        <w:rPr>
          <w:i/>
          <w:sz w:val="28"/>
          <w:szCs w:val="28"/>
        </w:rPr>
        <w:t>(посв. № 223)</w:t>
      </w:r>
    </w:p>
    <w:p w:rsidR="00503999" w:rsidRPr="00D94135" w:rsidRDefault="00503999" w:rsidP="005407A6">
      <w:pPr>
        <w:ind w:firstLine="720"/>
        <w:jc w:val="both"/>
        <w:rPr>
          <w:b/>
          <w:spacing w:val="-4"/>
          <w:sz w:val="28"/>
          <w:szCs w:val="28"/>
        </w:rPr>
      </w:pPr>
    </w:p>
    <w:p w:rsidR="0089351F" w:rsidRPr="00D94135" w:rsidRDefault="0089351F" w:rsidP="005407A6">
      <w:pPr>
        <w:pStyle w:val="4"/>
        <w:spacing w:before="0" w:line="360" w:lineRule="auto"/>
        <w:ind w:right="0" w:firstLine="720"/>
        <w:jc w:val="both"/>
        <w:rPr>
          <w:szCs w:val="28"/>
        </w:rPr>
      </w:pPr>
    </w:p>
    <w:p w:rsidR="0089351F" w:rsidRPr="00D94135" w:rsidRDefault="0089351F" w:rsidP="005407A6">
      <w:pPr>
        <w:spacing w:line="360" w:lineRule="auto"/>
        <w:ind w:firstLine="720"/>
        <w:jc w:val="both"/>
        <w:rPr>
          <w:sz w:val="28"/>
          <w:szCs w:val="28"/>
        </w:rPr>
      </w:pPr>
      <w:bookmarkStart w:id="3" w:name="_GoBack"/>
      <w:bookmarkEnd w:id="3"/>
    </w:p>
    <w:sectPr w:rsidR="0089351F" w:rsidRPr="00D94135" w:rsidSect="001D5F4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851" w:right="749" w:bottom="1418" w:left="1800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528" w:rsidRDefault="004E3528">
      <w:r>
        <w:separator/>
      </w:r>
    </w:p>
  </w:endnote>
  <w:endnote w:type="continuationSeparator" w:id="0">
    <w:p w:rsidR="004E3528" w:rsidRDefault="004E3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79E" w:rsidRDefault="00CD279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279E" w:rsidRDefault="00CD279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79E" w:rsidRDefault="00CD279E">
    <w:pPr>
      <w:pStyle w:val="a8"/>
      <w:framePr w:wrap="around" w:vAnchor="text" w:hAnchor="margin" w:xAlign="right" w:y="1"/>
      <w:rPr>
        <w:rStyle w:val="a5"/>
      </w:rPr>
    </w:pPr>
  </w:p>
  <w:p w:rsidR="00CD279E" w:rsidRDefault="00CD279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528" w:rsidRDefault="004E3528">
      <w:r>
        <w:separator/>
      </w:r>
    </w:p>
  </w:footnote>
  <w:footnote w:type="continuationSeparator" w:id="0">
    <w:p w:rsidR="004E3528" w:rsidRDefault="004E3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79E" w:rsidRDefault="00CD279E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279E" w:rsidRDefault="00CD279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79E" w:rsidRDefault="00CD279E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D94135">
      <w:rPr>
        <w:rStyle w:val="a5"/>
        <w:noProof/>
        <w:sz w:val="24"/>
      </w:rPr>
      <w:t>5</w:t>
    </w:r>
    <w:r>
      <w:rPr>
        <w:rStyle w:val="a5"/>
        <w:sz w:val="24"/>
      </w:rPr>
      <w:fldChar w:fldCharType="end"/>
    </w:r>
  </w:p>
  <w:p w:rsidR="00CD279E" w:rsidRDefault="00CD27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B341A"/>
    <w:multiLevelType w:val="hybridMultilevel"/>
    <w:tmpl w:val="A3FC72BE"/>
    <w:lvl w:ilvl="0" w:tplc="A9E8B704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2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1F"/>
    <w:rsid w:val="00014432"/>
    <w:rsid w:val="000174B2"/>
    <w:rsid w:val="000234A8"/>
    <w:rsid w:val="00056FC2"/>
    <w:rsid w:val="000577F5"/>
    <w:rsid w:val="000A7EA1"/>
    <w:rsid w:val="000B3585"/>
    <w:rsid w:val="000B7C65"/>
    <w:rsid w:val="000C13B6"/>
    <w:rsid w:val="00101AA3"/>
    <w:rsid w:val="00102CB0"/>
    <w:rsid w:val="00142528"/>
    <w:rsid w:val="00151BD2"/>
    <w:rsid w:val="00190BFA"/>
    <w:rsid w:val="001C4E02"/>
    <w:rsid w:val="001D5F4C"/>
    <w:rsid w:val="001D7B3E"/>
    <w:rsid w:val="001E7725"/>
    <w:rsid w:val="001F395C"/>
    <w:rsid w:val="0021351F"/>
    <w:rsid w:val="00216C54"/>
    <w:rsid w:val="0022302A"/>
    <w:rsid w:val="00226DFA"/>
    <w:rsid w:val="00227DEB"/>
    <w:rsid w:val="002337E4"/>
    <w:rsid w:val="002523C9"/>
    <w:rsid w:val="00261438"/>
    <w:rsid w:val="002718E6"/>
    <w:rsid w:val="00274A60"/>
    <w:rsid w:val="002B4587"/>
    <w:rsid w:val="002C6DBD"/>
    <w:rsid w:val="002D34AF"/>
    <w:rsid w:val="00301EAB"/>
    <w:rsid w:val="00305EC8"/>
    <w:rsid w:val="003227BF"/>
    <w:rsid w:val="00341860"/>
    <w:rsid w:val="0038618E"/>
    <w:rsid w:val="003B7636"/>
    <w:rsid w:val="003B7E21"/>
    <w:rsid w:val="003E4A70"/>
    <w:rsid w:val="003E727B"/>
    <w:rsid w:val="003F3E93"/>
    <w:rsid w:val="00403F72"/>
    <w:rsid w:val="0042636A"/>
    <w:rsid w:val="00447774"/>
    <w:rsid w:val="00456C4E"/>
    <w:rsid w:val="0049543B"/>
    <w:rsid w:val="004C33EE"/>
    <w:rsid w:val="004E3528"/>
    <w:rsid w:val="00503999"/>
    <w:rsid w:val="005356B1"/>
    <w:rsid w:val="005407A6"/>
    <w:rsid w:val="00573358"/>
    <w:rsid w:val="00574BB3"/>
    <w:rsid w:val="00580E63"/>
    <w:rsid w:val="00595147"/>
    <w:rsid w:val="005D25D9"/>
    <w:rsid w:val="005D687E"/>
    <w:rsid w:val="005E2542"/>
    <w:rsid w:val="0060355F"/>
    <w:rsid w:val="00616015"/>
    <w:rsid w:val="00622DA0"/>
    <w:rsid w:val="006343A6"/>
    <w:rsid w:val="00635D1A"/>
    <w:rsid w:val="0064547B"/>
    <w:rsid w:val="0066630C"/>
    <w:rsid w:val="006D34FA"/>
    <w:rsid w:val="006E7C91"/>
    <w:rsid w:val="007049D9"/>
    <w:rsid w:val="0071498F"/>
    <w:rsid w:val="00742C1D"/>
    <w:rsid w:val="00756293"/>
    <w:rsid w:val="007942DA"/>
    <w:rsid w:val="00795D4F"/>
    <w:rsid w:val="00797373"/>
    <w:rsid w:val="007A3396"/>
    <w:rsid w:val="007A4E5E"/>
    <w:rsid w:val="007A7B9A"/>
    <w:rsid w:val="007B1834"/>
    <w:rsid w:val="007B2A61"/>
    <w:rsid w:val="007D4F9D"/>
    <w:rsid w:val="007E012A"/>
    <w:rsid w:val="007E5FB2"/>
    <w:rsid w:val="008214D4"/>
    <w:rsid w:val="00827FCD"/>
    <w:rsid w:val="00845187"/>
    <w:rsid w:val="00864F7C"/>
    <w:rsid w:val="00875867"/>
    <w:rsid w:val="0089351F"/>
    <w:rsid w:val="008E45D7"/>
    <w:rsid w:val="00932F8E"/>
    <w:rsid w:val="00933F05"/>
    <w:rsid w:val="00934C91"/>
    <w:rsid w:val="009642F3"/>
    <w:rsid w:val="0097034F"/>
    <w:rsid w:val="0097393F"/>
    <w:rsid w:val="00984A2A"/>
    <w:rsid w:val="009A00C6"/>
    <w:rsid w:val="009A3547"/>
    <w:rsid w:val="009A71C2"/>
    <w:rsid w:val="009C4F52"/>
    <w:rsid w:val="009D1D57"/>
    <w:rsid w:val="009F07EA"/>
    <w:rsid w:val="00A14AA7"/>
    <w:rsid w:val="00A4643C"/>
    <w:rsid w:val="00A610BE"/>
    <w:rsid w:val="00A64916"/>
    <w:rsid w:val="00A671F8"/>
    <w:rsid w:val="00A7595D"/>
    <w:rsid w:val="00A803B6"/>
    <w:rsid w:val="00AB31F6"/>
    <w:rsid w:val="00AC2DA2"/>
    <w:rsid w:val="00AE2F42"/>
    <w:rsid w:val="00AF6959"/>
    <w:rsid w:val="00B03286"/>
    <w:rsid w:val="00B76B3E"/>
    <w:rsid w:val="00BB3619"/>
    <w:rsid w:val="00BD7F99"/>
    <w:rsid w:val="00C11945"/>
    <w:rsid w:val="00C30FD6"/>
    <w:rsid w:val="00C63553"/>
    <w:rsid w:val="00CA6C2A"/>
    <w:rsid w:val="00CB29B1"/>
    <w:rsid w:val="00CB4646"/>
    <w:rsid w:val="00CD279E"/>
    <w:rsid w:val="00CF507E"/>
    <w:rsid w:val="00D051A6"/>
    <w:rsid w:val="00D14949"/>
    <w:rsid w:val="00D32766"/>
    <w:rsid w:val="00D374FB"/>
    <w:rsid w:val="00D43469"/>
    <w:rsid w:val="00D94135"/>
    <w:rsid w:val="00D94CC1"/>
    <w:rsid w:val="00DB2BD4"/>
    <w:rsid w:val="00DC1BFD"/>
    <w:rsid w:val="00DD1C00"/>
    <w:rsid w:val="00E24BC0"/>
    <w:rsid w:val="00E3583F"/>
    <w:rsid w:val="00E50173"/>
    <w:rsid w:val="00E70F0F"/>
    <w:rsid w:val="00E92F74"/>
    <w:rsid w:val="00E973A2"/>
    <w:rsid w:val="00EB728A"/>
    <w:rsid w:val="00EC1E53"/>
    <w:rsid w:val="00EC6457"/>
    <w:rsid w:val="00ED25C0"/>
    <w:rsid w:val="00ED6E5C"/>
    <w:rsid w:val="00EF37FF"/>
    <w:rsid w:val="00EF3BA2"/>
    <w:rsid w:val="00F1624D"/>
    <w:rsid w:val="00F2365D"/>
    <w:rsid w:val="00F27EFB"/>
    <w:rsid w:val="00F53237"/>
    <w:rsid w:val="00F54393"/>
    <w:rsid w:val="00F57996"/>
    <w:rsid w:val="00F6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FDA07A-EE8D-48BC-983D-BFF72F09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51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89351F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89351F"/>
    <w:rPr>
      <w:rFonts w:cs="Times New Roman"/>
      <w:sz w:val="28"/>
      <w:lang w:val="uk-UA" w:eastAsia="ru-RU"/>
    </w:rPr>
  </w:style>
  <w:style w:type="paragraph" w:styleId="a3">
    <w:name w:val="header"/>
    <w:basedOn w:val="a"/>
    <w:link w:val="a4"/>
    <w:uiPriority w:val="99"/>
    <w:rsid w:val="008935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89351F"/>
    <w:rPr>
      <w:rFonts w:cs="Times New Roman"/>
      <w:lang w:val="uk-UA" w:eastAsia="ru-RU"/>
    </w:rPr>
  </w:style>
  <w:style w:type="character" w:styleId="a5">
    <w:name w:val="page number"/>
    <w:basedOn w:val="a0"/>
    <w:uiPriority w:val="99"/>
    <w:rsid w:val="0089351F"/>
    <w:rPr>
      <w:rFonts w:cs="Times New Roman"/>
    </w:rPr>
  </w:style>
  <w:style w:type="paragraph" w:styleId="a6">
    <w:name w:val="Title"/>
    <w:basedOn w:val="a"/>
    <w:link w:val="a7"/>
    <w:uiPriority w:val="99"/>
    <w:qFormat/>
    <w:rsid w:val="0089351F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character" w:customStyle="1" w:styleId="a7">
    <w:name w:val="Назва Знак"/>
    <w:basedOn w:val="a0"/>
    <w:link w:val="a6"/>
    <w:uiPriority w:val="99"/>
    <w:locked/>
    <w:rsid w:val="0089351F"/>
    <w:rPr>
      <w:rFonts w:cs="Times New Roman"/>
      <w:b/>
      <w:color w:val="000000"/>
      <w:spacing w:val="-24"/>
      <w:sz w:val="30"/>
      <w:lang w:val="uk-UA" w:eastAsia="ru-RU"/>
    </w:rPr>
  </w:style>
  <w:style w:type="paragraph" w:styleId="a8">
    <w:name w:val="footer"/>
    <w:basedOn w:val="a"/>
    <w:link w:val="a9"/>
    <w:uiPriority w:val="99"/>
    <w:rsid w:val="0089351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89351F"/>
    <w:rPr>
      <w:rFonts w:cs="Times New Roman"/>
      <w:lang w:val="uk-UA" w:eastAsia="ru-RU"/>
    </w:rPr>
  </w:style>
  <w:style w:type="paragraph" w:styleId="aa">
    <w:name w:val="Body Text Indent"/>
    <w:basedOn w:val="a"/>
    <w:link w:val="ab"/>
    <w:uiPriority w:val="99"/>
    <w:rsid w:val="0089351F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basedOn w:val="a0"/>
    <w:link w:val="aa"/>
    <w:uiPriority w:val="99"/>
    <w:semiHidden/>
    <w:locked/>
    <w:rsid w:val="0089351F"/>
    <w:rPr>
      <w:rFonts w:cs="Times New Roman"/>
      <w:sz w:val="28"/>
      <w:lang w:val="uk-UA" w:eastAsia="ru-RU"/>
    </w:rPr>
  </w:style>
  <w:style w:type="paragraph" w:styleId="ac">
    <w:name w:val="Block Text"/>
    <w:basedOn w:val="a"/>
    <w:uiPriority w:val="99"/>
    <w:rsid w:val="0089351F"/>
    <w:pPr>
      <w:shd w:val="clear" w:color="auto" w:fill="FFFFFF"/>
      <w:ind w:left="29" w:right="10" w:firstLine="709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8935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9351F"/>
    <w:rPr>
      <w:rFonts w:ascii="Courier New" w:hAnsi="Courier New" w:cs="Times New Roman"/>
      <w:color w:val="000000"/>
      <w:sz w:val="14"/>
      <w:lang w:val="uk-UA" w:eastAsia="ru-RU"/>
    </w:rPr>
  </w:style>
  <w:style w:type="paragraph" w:styleId="2">
    <w:name w:val="Body Text 2"/>
    <w:basedOn w:val="a"/>
    <w:link w:val="20"/>
    <w:uiPriority w:val="99"/>
    <w:rsid w:val="0089351F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89351F"/>
    <w:rPr>
      <w:rFonts w:cs="Times New Roman"/>
      <w:lang w:val="uk-UA" w:eastAsia="ru-RU"/>
    </w:rPr>
  </w:style>
  <w:style w:type="paragraph" w:styleId="3">
    <w:name w:val="Body Text Indent 3"/>
    <w:basedOn w:val="a"/>
    <w:link w:val="30"/>
    <w:uiPriority w:val="99"/>
    <w:rsid w:val="0089351F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89351F"/>
    <w:rPr>
      <w:rFonts w:cs="Times New Roman"/>
      <w:sz w:val="16"/>
      <w:lang w:val="uk-UA" w:eastAsia="ru-RU"/>
    </w:rPr>
  </w:style>
  <w:style w:type="character" w:customStyle="1" w:styleId="31">
    <w:name w:val="Знак Знак3"/>
    <w:uiPriority w:val="99"/>
    <w:semiHidden/>
    <w:rsid w:val="00A803B6"/>
    <w:rPr>
      <w:rFonts w:ascii="Courier New" w:hAnsi="Courier New"/>
      <w:sz w:val="20"/>
    </w:rPr>
  </w:style>
  <w:style w:type="character" w:styleId="ad">
    <w:name w:val="Hyperlink"/>
    <w:basedOn w:val="a0"/>
    <w:uiPriority w:val="99"/>
    <w:rsid w:val="002718E6"/>
    <w:rPr>
      <w:rFonts w:cs="Times New Roman"/>
      <w:color w:val="0000FF"/>
      <w:u w:val="single"/>
    </w:rPr>
  </w:style>
  <w:style w:type="character" w:customStyle="1" w:styleId="21">
    <w:name w:val="Знак Знак2"/>
    <w:uiPriority w:val="99"/>
    <w:semiHidden/>
    <w:rsid w:val="00403F72"/>
    <w:rPr>
      <w:sz w:val="24"/>
    </w:rPr>
  </w:style>
  <w:style w:type="paragraph" w:customStyle="1" w:styleId="rvps6">
    <w:name w:val="rvps6"/>
    <w:basedOn w:val="a"/>
    <w:uiPriority w:val="99"/>
    <w:rsid w:val="00A671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A671F8"/>
    <w:rPr>
      <w:rFonts w:cs="Times New Roman"/>
    </w:rPr>
  </w:style>
  <w:style w:type="character" w:customStyle="1" w:styleId="rvts0">
    <w:name w:val="rvts0"/>
    <w:basedOn w:val="a0"/>
    <w:uiPriority w:val="99"/>
    <w:rsid w:val="005D687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97393F"/>
    <w:rPr>
      <w:rFonts w:cs="Times New Roman"/>
    </w:rPr>
  </w:style>
  <w:style w:type="paragraph" w:customStyle="1" w:styleId="rvps2">
    <w:name w:val="rvps2"/>
    <w:basedOn w:val="a"/>
    <w:uiPriority w:val="99"/>
    <w:rsid w:val="000B7C6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Emphasis"/>
    <w:basedOn w:val="a0"/>
    <w:uiPriority w:val="99"/>
    <w:qFormat/>
    <w:locked/>
    <w:rsid w:val="00F54393"/>
    <w:rPr>
      <w:rFonts w:cs="Times New Roman"/>
      <w:i/>
      <w:iCs/>
    </w:rPr>
  </w:style>
  <w:style w:type="paragraph" w:styleId="af">
    <w:name w:val="Normal (Web)"/>
    <w:basedOn w:val="a"/>
    <w:uiPriority w:val="99"/>
    <w:rsid w:val="00F543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character" w:styleId="af0">
    <w:name w:val="Strong"/>
    <w:basedOn w:val="a0"/>
    <w:uiPriority w:val="99"/>
    <w:qFormat/>
    <w:locked/>
    <w:rsid w:val="00F54393"/>
    <w:rPr>
      <w:rFonts w:cs="Times New Roman"/>
      <w:b/>
    </w:rPr>
  </w:style>
  <w:style w:type="paragraph" w:styleId="af1">
    <w:name w:val="Balloon Text"/>
    <w:basedOn w:val="a"/>
    <w:link w:val="af2"/>
    <w:uiPriority w:val="99"/>
    <w:semiHidden/>
    <w:rsid w:val="00AF6959"/>
    <w:rPr>
      <w:rFonts w:ascii="Tahoma" w:hAnsi="Tahoma" w:cs="Tahoma"/>
      <w:sz w:val="16"/>
      <w:szCs w:val="16"/>
    </w:rPr>
  </w:style>
  <w:style w:type="character" w:customStyle="1" w:styleId="af2">
    <w:name w:val="Текст у виносці Знак"/>
    <w:basedOn w:val="a0"/>
    <w:link w:val="af1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rvts9">
    <w:name w:val="rvts9"/>
    <w:basedOn w:val="a0"/>
    <w:uiPriority w:val="99"/>
    <w:rsid w:val="007B2A6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4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7377</Words>
  <Characters>4205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</Company>
  <LinksUpToDate>false</LinksUpToDate>
  <CharactersWithSpaces>11559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V.P.</dc:creator>
  <cp:keywords/>
  <dc:description/>
  <cp:lastModifiedBy>Власенко Сергій Володимирович</cp:lastModifiedBy>
  <cp:revision>3</cp:revision>
  <cp:lastPrinted>2020-02-21T09:10:00Z</cp:lastPrinted>
  <dcterms:created xsi:type="dcterms:W3CDTF">2020-02-20T15:08:00Z</dcterms:created>
  <dcterms:modified xsi:type="dcterms:W3CDTF">2020-02-21T09:10:00Z</dcterms:modified>
</cp:coreProperties>
</file>