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46" w:rsidRDefault="007A0846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9D3FF3" w:rsidRDefault="00B05D4F" w:rsidP="00AB708F">
      <w:pPr>
        <w:spacing w:after="0" w:line="240" w:lineRule="auto"/>
        <w:ind w:left="52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AB708F" w:rsidRPr="009D3FF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 питань організації державної влади, місцевого самоврядування, регіонального розвитку та містобудування</w:t>
      </w:r>
    </w:p>
    <w:p w:rsidR="00B05D4F" w:rsidRPr="009D3FF3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05D4F" w:rsidRPr="009D3FF3" w:rsidRDefault="00B05D4F" w:rsidP="00B05D4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D4F" w:rsidRPr="009D3FF3" w:rsidRDefault="00B05D4F" w:rsidP="00AB708F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946616">
        <w:rPr>
          <w:rFonts w:ascii="Times New Roman" w:eastAsia="Times New Roman" w:hAnsi="Times New Roman"/>
          <w:sz w:val="28"/>
          <w:szCs w:val="28"/>
          <w:lang w:val="uk-UA" w:eastAsia="ru-RU"/>
        </w:rPr>
        <w:t>18 травня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(протокол № </w:t>
      </w:r>
      <w:r w:rsidR="00946616">
        <w:rPr>
          <w:rFonts w:ascii="Times New Roman" w:eastAsia="Times New Roman" w:hAnsi="Times New Roman"/>
          <w:sz w:val="28"/>
          <w:szCs w:val="28"/>
          <w:lang w:val="uk-UA" w:eastAsia="ru-RU"/>
        </w:rPr>
        <w:t>37</w:t>
      </w:r>
      <w:bookmarkStart w:id="0" w:name="_GoBack"/>
      <w:bookmarkEnd w:id="0"/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E11FE6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розділу XI «Прикінцеві та перехідні положення» Закону України «Про державну службу» щодо пенсійного забезпечення державних службовців, звільнених із займаних посад у зв’язку з реорганізацією (ліквідацією) підприємств, установ та організацій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</w:t>
      </w:r>
      <w:r w:rsidR="00E11FE6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3135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02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.2020), поданий народним депутат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 України 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Яценком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., і повідомляється наступне.</w:t>
      </w:r>
    </w:p>
    <w:p w:rsidR="00AB708F" w:rsidRPr="009D3FF3" w:rsidRDefault="00AB708F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 w:rsidRPr="009D3FF3">
        <w:rPr>
          <w:rFonts w:ascii="Times New Roman" w:hAnsi="Times New Roman" w:cs="Calibri"/>
          <w:iCs/>
          <w:sz w:val="28"/>
          <w:szCs w:val="28"/>
          <w:lang w:val="uk-UA"/>
        </w:rPr>
        <w:t>Законопроектом пропонується надати право на призначення пенсії відповідно до статті 37 Закону України від 16.12.1993 № 3723-ХІІ «Про державну службу» державним службовцям, які на день набрання чинності Законом України від 10.12.2015 № 889-</w:t>
      </w:r>
      <w:r w:rsidRPr="009D3FF3">
        <w:rPr>
          <w:rFonts w:ascii="Times New Roman" w:hAnsi="Times New Roman" w:cs="Calibri"/>
          <w:iCs/>
          <w:sz w:val="28"/>
          <w:szCs w:val="28"/>
          <w:lang w:val="en-US"/>
        </w:rPr>
        <w:t>V</w:t>
      </w:r>
      <w:r w:rsidRPr="009D3FF3">
        <w:rPr>
          <w:rFonts w:ascii="Times New Roman" w:hAnsi="Times New Roman" w:cs="Calibri"/>
          <w:iCs/>
          <w:sz w:val="28"/>
          <w:szCs w:val="28"/>
          <w:lang w:val="uk-UA"/>
        </w:rPr>
        <w:t xml:space="preserve">ІІІ «Про державну службу» (тобто з 1 травня 2016 року) мали не менш як 10 років стажу на посадах, віднесених до відповідних категорій посад державних службовців, та були звільнені з займаних посад у зв’язку з ліквідацією, реорганізацією, банкрутством або перепрофілюванням підприємства, установи, організації і були взяті на облік у центрі зайнятості як особи, які шукають роботу, у порядку, визначеному для осіб, які мають не менш як 20 років стажу роботи на посадах, віднесених до категорій посад державних службовців (у розмірі 60% суми їх заробітної плати, з якої було сплачено єдиний соціальний внесок) </w:t>
      </w:r>
      <w:r w:rsidRPr="009D3FF3">
        <w:rPr>
          <w:rFonts w:ascii="Times New Roman" w:hAnsi="Times New Roman" w:cs="Calibri"/>
          <w:i/>
          <w:iCs/>
          <w:sz w:val="28"/>
          <w:szCs w:val="28"/>
          <w:lang w:val="uk-UA"/>
        </w:rPr>
        <w:t>/згідно з чинним законодавством пенсія таким особам призначається відповідно до Закону України «Про загальнообов’язкове державне пенсійне страхування»/</w:t>
      </w:r>
      <w:r w:rsidRPr="009D3FF3">
        <w:rPr>
          <w:rFonts w:ascii="Times New Roman" w:hAnsi="Times New Roman" w:cs="Calibri"/>
          <w:iCs/>
          <w:sz w:val="28"/>
          <w:szCs w:val="28"/>
          <w:lang w:val="uk-UA"/>
        </w:rPr>
        <w:t>.</w:t>
      </w:r>
    </w:p>
    <w:p w:rsidR="00AB708F" w:rsidRPr="009D3FF3" w:rsidRDefault="003C27FF" w:rsidP="00B05D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фінансів України </w:t>
      </w:r>
      <w:r w:rsidR="00E3051E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реалізація законопроекту</w:t>
      </w:r>
      <w:r w:rsidR="00AB708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потребуватиме вишукання додаткових коштів державного бюджету на пенсійне забезпечення</w:t>
      </w:r>
      <w:r w:rsidR="00704F09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B65E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 зазначається, що </w:t>
      </w:r>
      <w:r w:rsidR="00B65E4B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інформацією Пенсійного фонду України </w:t>
      </w:r>
      <w:r w:rsidR="00704F09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здійснити фінансово-економічні розрахунки неможливо через відсутність даних щодо чисельності осіб, на яких поширюватиметься за</w:t>
      </w:r>
      <w:r w:rsidR="00B65E4B">
        <w:rPr>
          <w:rFonts w:ascii="Times New Roman" w:eastAsia="Times New Roman" w:hAnsi="Times New Roman"/>
          <w:sz w:val="28"/>
          <w:szCs w:val="28"/>
          <w:lang w:val="uk-UA" w:eastAsia="ru-RU"/>
        </w:rPr>
        <w:t>конодавча ініціатива.</w:t>
      </w:r>
    </w:p>
    <w:p w:rsidR="00704F09" w:rsidRPr="009D3FF3" w:rsidRDefault="00704F09" w:rsidP="00B05D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3051E" w:rsidRPr="009D3FF3" w:rsidRDefault="00E3051E" w:rsidP="00E3051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Згідно з вимогами частини першої статті 27 Бюджетного кодексу України та статті 91 Регламенту Верховної Ради України суб’єкту законодавчої ініціативи належить надати фінансово-економічне обґрунтування до законопроекту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проте відповідні матеріали відсутні у супровідних документах до законопроекту. На невиконання зазначених вимог звертає увагу також Міністерство фінансів України.</w:t>
      </w:r>
    </w:p>
    <w:p w:rsidR="00E3051E" w:rsidRPr="009D3FF3" w:rsidRDefault="00E3051E" w:rsidP="00E3051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E3051E" w:rsidRPr="009D3FF3" w:rsidRDefault="00E3051E" w:rsidP="00E3051E">
      <w:pPr>
        <w:pStyle w:val="ab"/>
        <w:spacing w:after="0"/>
        <w:ind w:firstLine="851"/>
        <w:jc w:val="both"/>
        <w:rPr>
          <w:szCs w:val="28"/>
        </w:rPr>
      </w:pPr>
      <w:r w:rsidRPr="009D3FF3">
        <w:rPr>
          <w:szCs w:val="28"/>
        </w:rPr>
        <w:t xml:space="preserve">Проект Закону України </w:t>
      </w:r>
      <w:r w:rsidR="00704F09" w:rsidRPr="009D3FF3">
        <w:rPr>
          <w:szCs w:val="28"/>
        </w:rPr>
        <w:t xml:space="preserve">про внесення змін до розділу </w:t>
      </w:r>
      <w:r w:rsidR="00704F09" w:rsidRPr="009D3FF3">
        <w:rPr>
          <w:szCs w:val="28"/>
          <w:lang w:val="ru-RU"/>
        </w:rPr>
        <w:t>XI</w:t>
      </w:r>
      <w:r w:rsidR="00704F09" w:rsidRPr="009D3FF3">
        <w:rPr>
          <w:szCs w:val="28"/>
        </w:rPr>
        <w:t xml:space="preserve"> «Прикінцеві та перехідні положення» Закону України «Про державну службу» щодо пенсійного забезпечення державних службовців, звільнених із займаних посад у зв’язку з реорганізацією (ліквідацією) підприємств, установ та організацій (реєстр. № 3135 від 02.03.2020), поданий народним депутатом України Яценком А.В.</w:t>
      </w:r>
      <w:r w:rsidRPr="009D3FF3">
        <w:rPr>
          <w:bCs/>
          <w:szCs w:val="28"/>
        </w:rPr>
        <w:t xml:space="preserve">, </w:t>
      </w:r>
      <w:r w:rsidRPr="009D3FF3">
        <w:rPr>
          <w:szCs w:val="28"/>
        </w:rPr>
        <w:t xml:space="preserve">має вплив на показники бюджету (збільшує витрати державного бюджету, у тому числі для Пенсійного фонду України). </w:t>
      </w:r>
      <w:r w:rsidRPr="009D3FF3">
        <w:rPr>
          <w:color w:val="000000"/>
          <w:szCs w:val="28"/>
        </w:rPr>
        <w:t>У разі прийняття відповідного закону до 15 липня 2020 року він має вводитись в дію не раніше 1 січня 2021 року, а після 15 липня 2020 року - не раніше 1 січня 2022 року (або 1 січня наступного за цим року залежно від часу прийняття закону).</w:t>
      </w:r>
    </w:p>
    <w:p w:rsidR="00B05D4F" w:rsidRPr="009D3FF3" w:rsidRDefault="00B05D4F" w:rsidP="00B05D4F">
      <w:pPr>
        <w:widowControl w:val="0"/>
        <w:autoSpaceDE w:val="0"/>
        <w:autoSpaceDN w:val="0"/>
        <w:adjustRightInd w:val="0"/>
        <w:spacing w:before="120"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</w:p>
    <w:p w:rsidR="00B05D4F" w:rsidRPr="009D3FF3" w:rsidRDefault="00B05D4F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</w:p>
    <w:p w:rsidR="00B05D4F" w:rsidRPr="009D3FF3" w:rsidRDefault="00B05D4F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9D3FF3" w:rsidRDefault="00B05D4F" w:rsidP="00B05D4F">
      <w:pPr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</w:t>
      </w:r>
      <w:r w:rsidRPr="009D3F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Комітету                                                                                 Ю</w:t>
      </w:r>
      <w:r w:rsidRPr="009D3FF3">
        <w:rPr>
          <w:rFonts w:ascii="Times New Roman" w:eastAsia="Times New Roman" w:hAnsi="Times New Roman"/>
          <w:b/>
          <w:sz w:val="28"/>
          <w:szCs w:val="28"/>
          <w:lang w:eastAsia="ru-RU"/>
        </w:rPr>
        <w:t>.Ю. Арістов</w:t>
      </w:r>
    </w:p>
    <w:p w:rsidR="00B05D4F" w:rsidRPr="009D3FF3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35E" w:rsidRPr="00A7635E" w:rsidRDefault="00A7635E" w:rsidP="00143A71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</w:p>
    <w:sectPr w:rsidR="00A7635E" w:rsidRPr="00A7635E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F7B" w:rsidRDefault="00870F7B" w:rsidP="005E306B">
      <w:pPr>
        <w:spacing w:after="0" w:line="240" w:lineRule="auto"/>
      </w:pPr>
      <w:r>
        <w:separator/>
      </w:r>
    </w:p>
  </w:endnote>
  <w:endnote w:type="continuationSeparator" w:id="0">
    <w:p w:rsidR="00870F7B" w:rsidRDefault="00870F7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70F7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F7B" w:rsidRDefault="00870F7B" w:rsidP="005E306B">
      <w:pPr>
        <w:spacing w:after="0" w:line="240" w:lineRule="auto"/>
      </w:pPr>
      <w:r>
        <w:separator/>
      </w:r>
    </w:p>
  </w:footnote>
  <w:footnote w:type="continuationSeparator" w:id="0">
    <w:p w:rsidR="00870F7B" w:rsidRDefault="00870F7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86943"/>
    <w:rsid w:val="000B43C5"/>
    <w:rsid w:val="000F1586"/>
    <w:rsid w:val="001105D2"/>
    <w:rsid w:val="00141617"/>
    <w:rsid w:val="00143A71"/>
    <w:rsid w:val="0019108F"/>
    <w:rsid w:val="0019231B"/>
    <w:rsid w:val="001942EA"/>
    <w:rsid w:val="001966F0"/>
    <w:rsid w:val="001D3C24"/>
    <w:rsid w:val="0021032F"/>
    <w:rsid w:val="00214744"/>
    <w:rsid w:val="00235CD7"/>
    <w:rsid w:val="002A5D4C"/>
    <w:rsid w:val="002B5FC1"/>
    <w:rsid w:val="002D0561"/>
    <w:rsid w:val="002E0A18"/>
    <w:rsid w:val="002E31BF"/>
    <w:rsid w:val="002E44DA"/>
    <w:rsid w:val="00375EA3"/>
    <w:rsid w:val="003B6D6C"/>
    <w:rsid w:val="003C27FF"/>
    <w:rsid w:val="003D0996"/>
    <w:rsid w:val="003D1CBA"/>
    <w:rsid w:val="0043339B"/>
    <w:rsid w:val="00451750"/>
    <w:rsid w:val="00470B9A"/>
    <w:rsid w:val="004717F5"/>
    <w:rsid w:val="004852FA"/>
    <w:rsid w:val="004B3675"/>
    <w:rsid w:val="004C53C1"/>
    <w:rsid w:val="004E37E5"/>
    <w:rsid w:val="004E4F5C"/>
    <w:rsid w:val="004F7494"/>
    <w:rsid w:val="004F7B8A"/>
    <w:rsid w:val="00500CE7"/>
    <w:rsid w:val="0050620F"/>
    <w:rsid w:val="00545919"/>
    <w:rsid w:val="0055005A"/>
    <w:rsid w:val="0056039F"/>
    <w:rsid w:val="0056352F"/>
    <w:rsid w:val="00572BE4"/>
    <w:rsid w:val="00592C72"/>
    <w:rsid w:val="005A4728"/>
    <w:rsid w:val="005B71F5"/>
    <w:rsid w:val="005C674D"/>
    <w:rsid w:val="005E306B"/>
    <w:rsid w:val="005F20B5"/>
    <w:rsid w:val="00626A3E"/>
    <w:rsid w:val="006342B4"/>
    <w:rsid w:val="00660B13"/>
    <w:rsid w:val="0066623D"/>
    <w:rsid w:val="006F10E8"/>
    <w:rsid w:val="00704F09"/>
    <w:rsid w:val="00713E93"/>
    <w:rsid w:val="00722930"/>
    <w:rsid w:val="0073224C"/>
    <w:rsid w:val="007645AD"/>
    <w:rsid w:val="007A0252"/>
    <w:rsid w:val="007A0846"/>
    <w:rsid w:val="007B31A3"/>
    <w:rsid w:val="007B6545"/>
    <w:rsid w:val="007C1F08"/>
    <w:rsid w:val="007D2476"/>
    <w:rsid w:val="007D2B6C"/>
    <w:rsid w:val="007F5D91"/>
    <w:rsid w:val="00802A81"/>
    <w:rsid w:val="0080545D"/>
    <w:rsid w:val="00811821"/>
    <w:rsid w:val="00835212"/>
    <w:rsid w:val="0084269F"/>
    <w:rsid w:val="00870F7B"/>
    <w:rsid w:val="008D0011"/>
    <w:rsid w:val="008D7BBE"/>
    <w:rsid w:val="0091360E"/>
    <w:rsid w:val="00945B68"/>
    <w:rsid w:val="00946616"/>
    <w:rsid w:val="00957D31"/>
    <w:rsid w:val="00972232"/>
    <w:rsid w:val="009865D4"/>
    <w:rsid w:val="00991018"/>
    <w:rsid w:val="009A6973"/>
    <w:rsid w:val="009A720A"/>
    <w:rsid w:val="009C4B4E"/>
    <w:rsid w:val="009D3FF3"/>
    <w:rsid w:val="00A00059"/>
    <w:rsid w:val="00A60747"/>
    <w:rsid w:val="00A7635E"/>
    <w:rsid w:val="00A76A60"/>
    <w:rsid w:val="00A81240"/>
    <w:rsid w:val="00A833C8"/>
    <w:rsid w:val="00AB708F"/>
    <w:rsid w:val="00AD7F82"/>
    <w:rsid w:val="00AE3090"/>
    <w:rsid w:val="00B05D4F"/>
    <w:rsid w:val="00B16B5A"/>
    <w:rsid w:val="00B311E8"/>
    <w:rsid w:val="00B60E56"/>
    <w:rsid w:val="00B65E4B"/>
    <w:rsid w:val="00BA62CD"/>
    <w:rsid w:val="00BA7D40"/>
    <w:rsid w:val="00BD0801"/>
    <w:rsid w:val="00BF1E95"/>
    <w:rsid w:val="00C11FB6"/>
    <w:rsid w:val="00C27AE9"/>
    <w:rsid w:val="00C434B6"/>
    <w:rsid w:val="00C448D8"/>
    <w:rsid w:val="00C853DC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11FE6"/>
    <w:rsid w:val="00E3051E"/>
    <w:rsid w:val="00EE0B2D"/>
    <w:rsid w:val="00F55423"/>
    <w:rsid w:val="00F91DD3"/>
    <w:rsid w:val="00FA786B"/>
    <w:rsid w:val="00FC3DF4"/>
    <w:rsid w:val="00FD11F5"/>
    <w:rsid w:val="00FF3963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D62CF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E3051E"/>
    <w:pPr>
      <w:spacing w:after="120" w:line="240" w:lineRule="auto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E3051E"/>
    <w:rPr>
      <w:rFonts w:ascii="Times New Roman" w:eastAsia="Times New Roman" w:hAnsi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980C1-A14D-4A6E-BC4B-5DF5A92C6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2545</Words>
  <Characters>1451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6</cp:revision>
  <cp:lastPrinted>2020-05-04T08:56:00Z</cp:lastPrinted>
  <dcterms:created xsi:type="dcterms:W3CDTF">2020-05-04T08:44:00Z</dcterms:created>
  <dcterms:modified xsi:type="dcterms:W3CDTF">2020-05-20T08:45:00Z</dcterms:modified>
</cp:coreProperties>
</file>