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2BD" w:rsidRDefault="007D54B8" w:rsidP="004D20D9">
      <w:pPr>
        <w:pStyle w:val="a9"/>
        <w:spacing w:line="100" w:lineRule="atLeast"/>
        <w:ind w:right="0" w:firstLine="426"/>
        <w:rPr>
          <w:color w:val="auto"/>
          <w:szCs w:val="28"/>
        </w:rPr>
      </w:pPr>
      <w:bookmarkStart w:id="0" w:name="_GoBack"/>
      <w:bookmarkEnd w:id="0"/>
      <w:r>
        <w:rPr>
          <w:color w:val="auto"/>
          <w:spacing w:val="0"/>
          <w:szCs w:val="28"/>
        </w:rPr>
        <w:t>ПОЯСНЮВАЛЬНА ЗАПИСКА</w:t>
      </w:r>
    </w:p>
    <w:p w:rsidR="00E252BD" w:rsidRDefault="00E252BD" w:rsidP="004D20D9">
      <w:pPr>
        <w:pStyle w:val="ad"/>
        <w:ind w:right="0"/>
        <w:rPr>
          <w:b/>
          <w:szCs w:val="28"/>
        </w:rPr>
      </w:pPr>
    </w:p>
    <w:p w:rsidR="00E252BD" w:rsidRDefault="007D54B8" w:rsidP="004D20D9">
      <w:pPr>
        <w:ind w:firstLine="426"/>
        <w:jc w:val="center"/>
        <w:rPr>
          <w:sz w:val="28"/>
          <w:szCs w:val="28"/>
        </w:rPr>
      </w:pPr>
      <w:bookmarkStart w:id="1" w:name="Bookmark"/>
      <w:r>
        <w:rPr>
          <w:b/>
          <w:iCs/>
          <w:sz w:val="28"/>
          <w:szCs w:val="28"/>
        </w:rPr>
        <w:t xml:space="preserve">до </w:t>
      </w:r>
      <w:bookmarkEnd w:id="1"/>
      <w:r>
        <w:rPr>
          <w:b/>
          <w:iCs/>
          <w:sz w:val="28"/>
          <w:szCs w:val="28"/>
        </w:rPr>
        <w:t xml:space="preserve">проекту Закону України </w:t>
      </w:r>
      <w:r>
        <w:rPr>
          <w:b/>
          <w:sz w:val="28"/>
          <w:szCs w:val="28"/>
          <w:lang w:eastAsia="uk-UA"/>
        </w:rPr>
        <w:t>“Про лобістську діяльність”</w:t>
      </w:r>
    </w:p>
    <w:p w:rsidR="00E252BD" w:rsidRDefault="00E252BD" w:rsidP="004D20D9">
      <w:pPr>
        <w:ind w:firstLine="426"/>
        <w:jc w:val="center"/>
        <w:rPr>
          <w:sz w:val="28"/>
          <w:szCs w:val="28"/>
        </w:rPr>
      </w:pPr>
    </w:p>
    <w:p w:rsidR="00E252BD" w:rsidRDefault="007D54B8" w:rsidP="004D20D9">
      <w:pPr>
        <w:shd w:val="clear" w:color="auto" w:fill="FFFFFF"/>
        <w:tabs>
          <w:tab w:val="left" w:pos="1080"/>
          <w:tab w:val="left" w:pos="1276"/>
        </w:tabs>
        <w:ind w:firstLine="426"/>
        <w:jc w:val="both"/>
        <w:rPr>
          <w:sz w:val="28"/>
          <w:szCs w:val="28"/>
        </w:rPr>
      </w:pPr>
      <w:r>
        <w:rPr>
          <w:b/>
          <w:bCs/>
          <w:sz w:val="28"/>
          <w:szCs w:val="28"/>
        </w:rPr>
        <w:t>1. Обґрунтування необхідності прийняття акта</w:t>
      </w:r>
    </w:p>
    <w:p w:rsidR="00E252BD" w:rsidRDefault="00E252BD" w:rsidP="004D20D9">
      <w:pPr>
        <w:shd w:val="clear" w:color="auto" w:fill="FFFFFF"/>
        <w:tabs>
          <w:tab w:val="left" w:pos="1276"/>
        </w:tabs>
        <w:ind w:firstLine="426"/>
        <w:jc w:val="both"/>
        <w:rPr>
          <w:sz w:val="28"/>
          <w:szCs w:val="28"/>
        </w:rPr>
      </w:pPr>
    </w:p>
    <w:p w:rsidR="00E252BD" w:rsidRDefault="007D54B8" w:rsidP="004D20D9">
      <w:pPr>
        <w:shd w:val="clear" w:color="auto" w:fill="FFFFFF"/>
        <w:tabs>
          <w:tab w:val="left" w:pos="1276"/>
        </w:tabs>
        <w:ind w:firstLine="426"/>
        <w:jc w:val="both"/>
        <w:rPr>
          <w:rFonts w:eastAsia="Times New Roman" w:cs="Times New Roman"/>
          <w:sz w:val="28"/>
          <w:szCs w:val="28"/>
        </w:rPr>
      </w:pPr>
      <w:r>
        <w:rPr>
          <w:sz w:val="28"/>
          <w:szCs w:val="28"/>
        </w:rPr>
        <w:t xml:space="preserve">Можливість впливу з боку суспільства на органи державної влади, органи місцевого самоврядування, їх посадових та службових осіб є реалізацією цілого ряду прав і гарантій громадян нашої держави, закріплених в Конституції України: права на </w:t>
      </w:r>
      <w:r>
        <w:rPr>
          <w:rFonts w:eastAsia="Times New Roman" w:cs="Times New Roman"/>
          <w:sz w:val="28"/>
          <w:szCs w:val="28"/>
        </w:rPr>
        <w:t>здійснення влади народом України, права на свободу думки і слова, права на вільне вираження своїх поглядів та переконань, права вільно збирати, зберігати, використовувати і поширювати інформацію, права брати участь в управлінні державними справами, права направляти індивідуальні чи колективні письмові звернення або особисто звертатися до органів державної влади, органів місцевого самоврядування та посадових і службових осіб цих органів.</w:t>
      </w:r>
    </w:p>
    <w:p w:rsidR="00E252BD" w:rsidRDefault="007D54B8" w:rsidP="004D20D9">
      <w:pPr>
        <w:shd w:val="clear" w:color="auto" w:fill="FFFFFF"/>
        <w:tabs>
          <w:tab w:val="left" w:pos="1276"/>
        </w:tabs>
        <w:ind w:firstLine="426"/>
        <w:jc w:val="both"/>
        <w:rPr>
          <w:bCs/>
          <w:sz w:val="28"/>
          <w:szCs w:val="28"/>
        </w:rPr>
      </w:pPr>
      <w:r>
        <w:rPr>
          <w:rFonts w:eastAsia="Times New Roman" w:cs="Times New Roman"/>
          <w:sz w:val="28"/>
          <w:szCs w:val="28"/>
        </w:rPr>
        <w:t>Професійна діяльність щодо впливу на вказані органи, їх посадових і службових осіб отримала назву лобістської діяльності, або лобіювання. Через спеціфіку задіяних осіб та важливість наслідків, для такої діяльності принциповими вимогами є законність, відповідність інтересам суспільства та прозорість.</w:t>
      </w:r>
    </w:p>
    <w:p w:rsidR="00E252BD" w:rsidRDefault="007D54B8" w:rsidP="004D20D9">
      <w:pPr>
        <w:shd w:val="clear" w:color="auto" w:fill="FFFFFF"/>
        <w:tabs>
          <w:tab w:val="left" w:pos="1276"/>
        </w:tabs>
        <w:ind w:firstLine="426"/>
        <w:jc w:val="both"/>
        <w:rPr>
          <w:bCs/>
          <w:sz w:val="28"/>
          <w:szCs w:val="28"/>
        </w:rPr>
      </w:pPr>
      <w:r>
        <w:rPr>
          <w:bCs/>
          <w:sz w:val="28"/>
          <w:szCs w:val="28"/>
        </w:rPr>
        <w:t>Врегульоване на законодавчому рівні лобіювання існує не тільки в більшості країн світу, які вважаються цивілізованими, а й на рівні міждержавному, наприклад, у Європейському Союзі. Ігнорування цього явища або спроба його знищення в сучасних умовах є неконструктивними.</w:t>
      </w:r>
    </w:p>
    <w:p w:rsidR="00E252BD" w:rsidRDefault="007D54B8" w:rsidP="004D20D9">
      <w:pPr>
        <w:pStyle w:val="ae"/>
        <w:shd w:val="clear" w:color="auto" w:fill="FFFFFF"/>
        <w:tabs>
          <w:tab w:val="left" w:pos="1276"/>
        </w:tabs>
        <w:ind w:firstLine="426"/>
        <w:jc w:val="both"/>
        <w:rPr>
          <w:rFonts w:eastAsia="Times New Roman" w:cs="Times New Roman"/>
          <w:bCs/>
          <w:sz w:val="28"/>
          <w:szCs w:val="28"/>
        </w:rPr>
      </w:pPr>
      <w:bookmarkStart w:id="2" w:name="tw-target-text"/>
      <w:bookmarkEnd w:id="2"/>
      <w:r>
        <w:rPr>
          <w:rFonts w:ascii="Times New Roman" w:hAnsi="Times New Roman"/>
          <w:bCs/>
          <w:sz w:val="28"/>
          <w:szCs w:val="28"/>
        </w:rPr>
        <w:t xml:space="preserve">В якості приклада можна привести Дональда Трампа, який всю передвиборчу кампанію погрожував “осушити болото” лобістів — у </w:t>
      </w:r>
      <w:r>
        <w:rPr>
          <w:rFonts w:ascii="Times New Roman" w:hAnsi="Times New Roman"/>
          <w:sz w:val="28"/>
          <w:szCs w:val="28"/>
        </w:rPr>
        <w:t>випадку своєї перемоги. В результаті, першими кроками Президента США Дональда Трампа стали призначення лобістів на ключові посади своєї адміністрації. Як потім сказав впливовий лобіст і колишній сенатор Трент Лотт, “Дональду потрібна допомога, щоб пройти через це болото. Ми готові йому допомогти”.</w:t>
      </w:r>
    </w:p>
    <w:p w:rsidR="00E252BD" w:rsidRDefault="007D54B8" w:rsidP="004D20D9">
      <w:pPr>
        <w:shd w:val="clear" w:color="auto" w:fill="FFFFFF"/>
        <w:tabs>
          <w:tab w:val="left" w:pos="1276"/>
        </w:tabs>
        <w:spacing w:line="200" w:lineRule="atLeast"/>
        <w:ind w:firstLine="426"/>
        <w:jc w:val="both"/>
        <w:rPr>
          <w:rFonts w:eastAsia="Times New Roman" w:cs="Times New Roman"/>
          <w:bCs/>
          <w:sz w:val="28"/>
          <w:szCs w:val="28"/>
        </w:rPr>
      </w:pPr>
      <w:r>
        <w:rPr>
          <w:rFonts w:eastAsia="Times New Roman" w:cs="Times New Roman"/>
          <w:bCs/>
          <w:sz w:val="28"/>
          <w:szCs w:val="28"/>
        </w:rPr>
        <w:t xml:space="preserve">В нашій країні про необхідність правового врегулювання лобіювання неодноразово заявлялось, в тому числі, на законодавчому рівні (Закон України «Про засади державної антикорупційної політики в Україні (Антикорупційна стратегія) на 2014-2017 роки». Про це говориться і в Угоді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t>
      </w:r>
    </w:p>
    <w:p w:rsidR="00E252BD" w:rsidRDefault="007D54B8" w:rsidP="004D20D9">
      <w:pPr>
        <w:shd w:val="clear" w:color="auto" w:fill="FFFFFF"/>
        <w:tabs>
          <w:tab w:val="left" w:pos="1276"/>
        </w:tabs>
        <w:ind w:firstLine="426"/>
        <w:jc w:val="both"/>
        <w:rPr>
          <w:rFonts w:eastAsia="Times New Roman" w:cs="Times New Roman"/>
          <w:bCs/>
          <w:sz w:val="28"/>
          <w:szCs w:val="28"/>
        </w:rPr>
      </w:pPr>
      <w:r>
        <w:rPr>
          <w:rFonts w:eastAsia="Times New Roman" w:cs="Times New Roman"/>
          <w:bCs/>
          <w:sz w:val="28"/>
          <w:szCs w:val="28"/>
        </w:rPr>
        <w:t xml:space="preserve">Тим не менш, до останнього часу це питання є не врегульованим  законодавством. Лобіювання в Україні має риси тіньового явища, що затримує розвиток нашої держави, з яким суспільство асоціює корупцію, негласні домовленості та зв'язки. </w:t>
      </w:r>
    </w:p>
    <w:p w:rsidR="00E252BD" w:rsidRDefault="007D54B8" w:rsidP="004D20D9">
      <w:pPr>
        <w:shd w:val="clear" w:color="auto" w:fill="FFFFFF"/>
        <w:tabs>
          <w:tab w:val="left" w:pos="1276"/>
        </w:tabs>
        <w:ind w:firstLine="426"/>
        <w:jc w:val="both"/>
        <w:rPr>
          <w:rFonts w:eastAsia="Times New Roman" w:cs="Times New Roman"/>
          <w:bCs/>
          <w:sz w:val="28"/>
          <w:szCs w:val="28"/>
        </w:rPr>
      </w:pPr>
      <w:r>
        <w:rPr>
          <w:rFonts w:eastAsia="Times New Roman" w:cs="Times New Roman"/>
          <w:bCs/>
          <w:sz w:val="28"/>
          <w:szCs w:val="28"/>
        </w:rPr>
        <w:t xml:space="preserve">При цьому, світовий досвід показує, що при грамотному врегулюванні лобіювання — могутня сила, яка може працювати на користь держави і </w:t>
      </w:r>
      <w:r>
        <w:rPr>
          <w:rFonts w:eastAsia="Times New Roman" w:cs="Times New Roman"/>
          <w:bCs/>
          <w:sz w:val="28"/>
          <w:szCs w:val="28"/>
        </w:rPr>
        <w:lastRenderedPageBreak/>
        <w:t>суспільства. Вочевидь, легалізація лобіювання та діяльності учасників цих стосунків для України є вкрай актуальною.</w:t>
      </w:r>
    </w:p>
    <w:p w:rsidR="004D20D9" w:rsidRDefault="004D20D9" w:rsidP="004D20D9">
      <w:pPr>
        <w:shd w:val="clear" w:color="auto" w:fill="FFFFFF"/>
        <w:tabs>
          <w:tab w:val="left" w:pos="1276"/>
        </w:tabs>
        <w:ind w:firstLine="426"/>
        <w:jc w:val="both"/>
        <w:rPr>
          <w:rFonts w:eastAsia="Times New Roman" w:cs="Times New Roman"/>
          <w:b/>
          <w:bCs/>
          <w:sz w:val="28"/>
          <w:szCs w:val="28"/>
        </w:rPr>
      </w:pPr>
    </w:p>
    <w:p w:rsidR="00E252BD" w:rsidRPr="004D20D9" w:rsidRDefault="007D54B8" w:rsidP="004D20D9">
      <w:pPr>
        <w:shd w:val="clear" w:color="auto" w:fill="FFFFFF"/>
        <w:tabs>
          <w:tab w:val="left" w:pos="1276"/>
        </w:tabs>
        <w:ind w:firstLine="426"/>
        <w:jc w:val="both"/>
        <w:rPr>
          <w:sz w:val="28"/>
          <w:szCs w:val="28"/>
        </w:rPr>
      </w:pPr>
      <w:r>
        <w:rPr>
          <w:rFonts w:eastAsia="Times New Roman" w:cs="Times New Roman"/>
          <w:b/>
          <w:bCs/>
          <w:sz w:val="28"/>
          <w:szCs w:val="28"/>
        </w:rPr>
        <w:t xml:space="preserve">2. </w:t>
      </w:r>
      <w:r>
        <w:rPr>
          <w:b/>
          <w:sz w:val="28"/>
          <w:szCs w:val="28"/>
        </w:rPr>
        <w:t>Мета</w:t>
      </w:r>
      <w:r w:rsidR="004D20D9">
        <w:rPr>
          <w:b/>
          <w:sz w:val="28"/>
          <w:szCs w:val="28"/>
          <w:lang w:val="en-US"/>
        </w:rPr>
        <w:t xml:space="preserve"> </w:t>
      </w:r>
      <w:r w:rsidR="004D20D9">
        <w:rPr>
          <w:b/>
          <w:sz w:val="28"/>
          <w:szCs w:val="28"/>
        </w:rPr>
        <w:t>прийняття акту</w:t>
      </w:r>
    </w:p>
    <w:p w:rsidR="00E252BD" w:rsidRDefault="00E252BD" w:rsidP="004D20D9">
      <w:pPr>
        <w:shd w:val="clear" w:color="auto" w:fill="FFFFFF"/>
        <w:tabs>
          <w:tab w:val="left" w:pos="567"/>
        </w:tabs>
        <w:ind w:firstLine="426"/>
        <w:jc w:val="both"/>
        <w:rPr>
          <w:sz w:val="28"/>
          <w:szCs w:val="28"/>
        </w:rPr>
      </w:pPr>
    </w:p>
    <w:p w:rsidR="00E252BD" w:rsidRDefault="007D54B8" w:rsidP="004D20D9">
      <w:pPr>
        <w:shd w:val="clear" w:color="auto" w:fill="FFFFFF"/>
        <w:tabs>
          <w:tab w:val="left" w:pos="567"/>
        </w:tabs>
        <w:ind w:firstLine="426"/>
        <w:jc w:val="both"/>
        <w:rPr>
          <w:sz w:val="28"/>
          <w:szCs w:val="28"/>
        </w:rPr>
      </w:pPr>
      <w:r>
        <w:rPr>
          <w:sz w:val="28"/>
          <w:szCs w:val="28"/>
        </w:rPr>
        <w:t>Переведення лобістської діяльності в Україні в правове поле, зменшення корупційних ризиків у стосунках представників влади з представниками суспільства та бізнеса, створення державного реєстру лобіювання, відмежування лобіювання від адвокації та адвокатської дільності, врегулювання питань, пов'язаних із замовними публічними акціями.</w:t>
      </w:r>
    </w:p>
    <w:p w:rsidR="00E252BD" w:rsidRDefault="007D54B8" w:rsidP="004D20D9">
      <w:pPr>
        <w:ind w:firstLine="426"/>
        <w:jc w:val="both"/>
        <w:rPr>
          <w:b/>
          <w:bCs/>
          <w:sz w:val="28"/>
          <w:szCs w:val="28"/>
        </w:rPr>
      </w:pPr>
      <w:r>
        <w:rPr>
          <w:sz w:val="28"/>
          <w:szCs w:val="28"/>
        </w:rPr>
        <w:t xml:space="preserve">   </w:t>
      </w:r>
    </w:p>
    <w:p w:rsidR="00E252BD" w:rsidRDefault="007D54B8" w:rsidP="004D20D9">
      <w:pPr>
        <w:ind w:firstLine="426"/>
        <w:jc w:val="both"/>
        <w:rPr>
          <w:bCs/>
          <w:sz w:val="28"/>
          <w:szCs w:val="28"/>
        </w:rPr>
      </w:pPr>
      <w:r>
        <w:rPr>
          <w:b/>
          <w:bCs/>
          <w:sz w:val="28"/>
          <w:szCs w:val="28"/>
        </w:rPr>
        <w:t xml:space="preserve">3. </w:t>
      </w:r>
      <w:r>
        <w:rPr>
          <w:b/>
          <w:sz w:val="28"/>
          <w:szCs w:val="28"/>
          <w:lang w:eastAsia="uk-UA"/>
        </w:rPr>
        <w:t>Загальна характеристика та основні положення законопроекту</w:t>
      </w:r>
    </w:p>
    <w:p w:rsidR="00E252BD" w:rsidRDefault="00E252BD" w:rsidP="004D20D9">
      <w:pPr>
        <w:ind w:firstLine="426"/>
        <w:jc w:val="both"/>
        <w:rPr>
          <w:bCs/>
          <w:sz w:val="28"/>
          <w:szCs w:val="28"/>
        </w:rPr>
      </w:pPr>
    </w:p>
    <w:p w:rsidR="00E252BD" w:rsidRDefault="007D54B8" w:rsidP="004D20D9">
      <w:pPr>
        <w:ind w:firstLine="426"/>
        <w:jc w:val="both"/>
        <w:rPr>
          <w:bCs/>
          <w:sz w:val="28"/>
          <w:szCs w:val="28"/>
        </w:rPr>
      </w:pPr>
      <w:r>
        <w:rPr>
          <w:bCs/>
          <w:sz w:val="28"/>
          <w:szCs w:val="28"/>
        </w:rPr>
        <w:t xml:space="preserve">В проекті Закону дане визначення лобіста, суб’єкта лобіювання, суб’єкта самолобіювання, вимог до них, їх прав та обов’язків, інструментів, необхідних для їх діяльності. Запроваджується Державний реєстр лобіювання, визначається перелік інформації, який має надати особа, яка бажає бути зареєстрована як лобіст, суб’єкт лобіювання або суб’єкт самолобіювання. Передбачається розкриття інформації про лобіювання, в тому числі, шляхом звітування — внесення інформації до Державного реєстру лобіювання  </w:t>
      </w:r>
      <w:r>
        <w:rPr>
          <w:rFonts w:cs="Times New Roman"/>
          <w:bCs/>
          <w:sz w:val="28"/>
          <w:szCs w:val="28"/>
        </w:rPr>
        <w:t>щодо факту та дати укладених договорів про надання послуг з лобіювання, сторін договору про надання послуг з лобіювання, майна, яке передається по договору з надання послуг з лобіювання, мети лобіювання, способів виконання лобіювання, результатів лобіювання. Ця інформація не є комерційною, державною, комерційною, банківською або іншою охоронюваною чинним законодавством інформацією</w:t>
      </w:r>
      <w:r>
        <w:rPr>
          <w:bCs/>
          <w:sz w:val="28"/>
          <w:szCs w:val="28"/>
        </w:rPr>
        <w:t>. Інформація з Державного реєстру лобіювання є доступною кожному та безкоштовною. В проекті передбачені механізм контролю за діяльністю лобіста, суб’єкта лобіювання, суб’єкта самолобіювання, обмеження та відповідальність щодо їх діяльності.</w:t>
      </w:r>
    </w:p>
    <w:p w:rsidR="00E252BD" w:rsidRDefault="00E252BD" w:rsidP="004D20D9">
      <w:pPr>
        <w:ind w:firstLine="426"/>
        <w:jc w:val="both"/>
        <w:rPr>
          <w:bCs/>
          <w:sz w:val="28"/>
          <w:szCs w:val="28"/>
        </w:rPr>
      </w:pPr>
    </w:p>
    <w:p w:rsidR="00E252BD" w:rsidRDefault="007D54B8" w:rsidP="004D20D9">
      <w:pPr>
        <w:ind w:firstLine="426"/>
        <w:jc w:val="both"/>
        <w:rPr>
          <w:sz w:val="28"/>
          <w:szCs w:val="28"/>
        </w:rPr>
      </w:pPr>
      <w:r>
        <w:rPr>
          <w:b/>
          <w:bCs/>
          <w:sz w:val="28"/>
          <w:szCs w:val="28"/>
        </w:rPr>
        <w:t>4. Стан нормативно-правової бази у даній сфері правового регулювання</w:t>
      </w:r>
    </w:p>
    <w:p w:rsidR="00E252BD" w:rsidRDefault="00E252BD" w:rsidP="004D20D9">
      <w:pPr>
        <w:ind w:firstLine="426"/>
        <w:jc w:val="both"/>
        <w:rPr>
          <w:sz w:val="28"/>
          <w:szCs w:val="28"/>
        </w:rPr>
      </w:pPr>
    </w:p>
    <w:p w:rsidR="004D20D9" w:rsidRDefault="007D54B8" w:rsidP="004D20D9">
      <w:pPr>
        <w:ind w:firstLine="426"/>
        <w:jc w:val="both"/>
        <w:rPr>
          <w:rFonts w:eastAsia="Times New Roman" w:cs="Times New Roman"/>
          <w:sz w:val="28"/>
          <w:szCs w:val="28"/>
        </w:rPr>
      </w:pPr>
      <w:r>
        <w:rPr>
          <w:rFonts w:eastAsia="Times New Roman" w:cs="Times New Roman"/>
          <w:sz w:val="28"/>
          <w:szCs w:val="28"/>
        </w:rPr>
        <w:t>Базові питання, що відносяться до предмету правового регулювання законопроекту, реглам</w:t>
      </w:r>
      <w:r w:rsidR="004D20D9">
        <w:rPr>
          <w:rFonts w:eastAsia="Times New Roman" w:cs="Times New Roman"/>
          <w:sz w:val="28"/>
          <w:szCs w:val="28"/>
        </w:rPr>
        <w:t xml:space="preserve">ентуються Конституцією України, </w:t>
      </w:r>
      <w:r w:rsidR="004D20D9" w:rsidRPr="004D20D9">
        <w:rPr>
          <w:rFonts w:eastAsia="Times New Roman" w:cs="Times New Roman"/>
          <w:sz w:val="28"/>
          <w:szCs w:val="28"/>
        </w:rPr>
        <w:t>Кримінальн</w:t>
      </w:r>
      <w:r w:rsidR="004D20D9">
        <w:rPr>
          <w:rFonts w:eastAsia="Times New Roman" w:cs="Times New Roman"/>
          <w:sz w:val="28"/>
          <w:szCs w:val="28"/>
        </w:rPr>
        <w:t>им</w:t>
      </w:r>
      <w:r w:rsidR="004D20D9" w:rsidRPr="004D20D9">
        <w:rPr>
          <w:rFonts w:eastAsia="Times New Roman" w:cs="Times New Roman"/>
          <w:sz w:val="28"/>
          <w:szCs w:val="28"/>
        </w:rPr>
        <w:t xml:space="preserve"> кодекс</w:t>
      </w:r>
      <w:r w:rsidR="004D20D9">
        <w:rPr>
          <w:rFonts w:eastAsia="Times New Roman" w:cs="Times New Roman"/>
          <w:sz w:val="28"/>
          <w:szCs w:val="28"/>
        </w:rPr>
        <w:t>ом</w:t>
      </w:r>
      <w:r w:rsidR="004D20D9" w:rsidRPr="004D20D9">
        <w:rPr>
          <w:rFonts w:eastAsia="Times New Roman" w:cs="Times New Roman"/>
          <w:sz w:val="28"/>
          <w:szCs w:val="28"/>
        </w:rPr>
        <w:t xml:space="preserve"> України, Закон</w:t>
      </w:r>
      <w:r w:rsidR="004D20D9">
        <w:rPr>
          <w:rFonts w:eastAsia="Times New Roman" w:cs="Times New Roman"/>
          <w:sz w:val="28"/>
          <w:szCs w:val="28"/>
        </w:rPr>
        <w:t>ом</w:t>
      </w:r>
      <w:r w:rsidR="004D20D9" w:rsidRPr="004D20D9">
        <w:rPr>
          <w:rFonts w:eastAsia="Times New Roman" w:cs="Times New Roman"/>
          <w:sz w:val="28"/>
          <w:szCs w:val="28"/>
        </w:rPr>
        <w:t xml:space="preserve"> України “Про державну реєстрацію юридичних осіб, фізичних осіб - підприємців та громадських формувань”</w:t>
      </w:r>
      <w:r w:rsidR="004D20D9">
        <w:rPr>
          <w:rFonts w:eastAsia="Times New Roman" w:cs="Times New Roman"/>
          <w:sz w:val="28"/>
          <w:szCs w:val="28"/>
        </w:rPr>
        <w:t>.</w:t>
      </w:r>
    </w:p>
    <w:p w:rsidR="00E252BD" w:rsidRDefault="004D20D9" w:rsidP="004D20D9">
      <w:pPr>
        <w:ind w:firstLine="851"/>
        <w:jc w:val="both"/>
        <w:rPr>
          <w:sz w:val="28"/>
          <w:szCs w:val="28"/>
        </w:rPr>
      </w:pPr>
      <w:r w:rsidRPr="00B32CEB">
        <w:rPr>
          <w:sz w:val="28"/>
          <w:szCs w:val="28"/>
        </w:rPr>
        <w:t>Реалізація положень даного законопроекту після його прийняття не потребує внесенн</w:t>
      </w:r>
      <w:r>
        <w:rPr>
          <w:sz w:val="28"/>
          <w:szCs w:val="28"/>
        </w:rPr>
        <w:t xml:space="preserve">я змін до інших законів України, натомість потребуватиме </w:t>
      </w:r>
      <w:r w:rsidR="007D54B8">
        <w:rPr>
          <w:bCs/>
          <w:sz w:val="28"/>
          <w:szCs w:val="28"/>
          <w:lang w:eastAsia="ru-RU"/>
        </w:rPr>
        <w:t xml:space="preserve"> </w:t>
      </w:r>
      <w:r w:rsidR="007D54B8">
        <w:rPr>
          <w:rFonts w:cs="Times New Roman"/>
          <w:bCs/>
          <w:sz w:val="28"/>
          <w:szCs w:val="28"/>
          <w:lang w:eastAsia="ru-RU"/>
        </w:rPr>
        <w:t>приведення нормативно-правових актів Кабінет</w:t>
      </w:r>
      <w:r>
        <w:rPr>
          <w:rFonts w:cs="Times New Roman"/>
          <w:bCs/>
          <w:sz w:val="28"/>
          <w:szCs w:val="28"/>
          <w:lang w:eastAsia="ru-RU"/>
        </w:rPr>
        <w:t>у</w:t>
      </w:r>
      <w:r w:rsidR="007D54B8">
        <w:rPr>
          <w:rFonts w:cs="Times New Roman"/>
          <w:bCs/>
          <w:sz w:val="28"/>
          <w:szCs w:val="28"/>
          <w:lang w:eastAsia="ru-RU"/>
        </w:rPr>
        <w:t xml:space="preserve"> Міністрів України у відповідність до закону, вжи</w:t>
      </w:r>
      <w:r>
        <w:rPr>
          <w:rFonts w:cs="Times New Roman"/>
          <w:bCs/>
          <w:sz w:val="28"/>
          <w:szCs w:val="28"/>
          <w:lang w:eastAsia="ru-RU"/>
        </w:rPr>
        <w:t>ття</w:t>
      </w:r>
      <w:r w:rsidR="007D54B8">
        <w:rPr>
          <w:rFonts w:cs="Times New Roman"/>
          <w:bCs/>
          <w:sz w:val="28"/>
          <w:szCs w:val="28"/>
          <w:lang w:eastAsia="ru-RU"/>
        </w:rPr>
        <w:t xml:space="preserve"> Міністерством юстиції України організаційних заходів, пов’язаних із створенням та забезпеченням безперервного функціонування </w:t>
      </w:r>
      <w:r w:rsidR="007D54B8">
        <w:rPr>
          <w:rFonts w:cs="Times New Roman"/>
          <w:sz w:val="28"/>
          <w:szCs w:val="28"/>
          <w:lang w:eastAsia="ru-RU"/>
        </w:rPr>
        <w:t>Державного реєстру лобіювання</w:t>
      </w:r>
      <w:r w:rsidR="007D54B8">
        <w:rPr>
          <w:sz w:val="28"/>
          <w:szCs w:val="28"/>
        </w:rPr>
        <w:t>.</w:t>
      </w:r>
    </w:p>
    <w:p w:rsidR="00E252BD" w:rsidRDefault="00E252BD" w:rsidP="004D20D9">
      <w:pPr>
        <w:ind w:firstLine="426"/>
        <w:jc w:val="both"/>
        <w:rPr>
          <w:sz w:val="28"/>
          <w:szCs w:val="28"/>
        </w:rPr>
      </w:pPr>
    </w:p>
    <w:p w:rsidR="00E252BD" w:rsidRDefault="007D54B8" w:rsidP="004D20D9">
      <w:pPr>
        <w:tabs>
          <w:tab w:val="left" w:pos="1080"/>
        </w:tabs>
        <w:ind w:firstLine="426"/>
        <w:jc w:val="both"/>
        <w:rPr>
          <w:bCs/>
          <w:sz w:val="28"/>
          <w:szCs w:val="28"/>
        </w:rPr>
      </w:pPr>
      <w:r>
        <w:rPr>
          <w:b/>
          <w:bCs/>
          <w:sz w:val="28"/>
          <w:szCs w:val="28"/>
        </w:rPr>
        <w:t>5. Фінансово-економічне обґрунтування</w:t>
      </w:r>
    </w:p>
    <w:p w:rsidR="00E252BD" w:rsidRDefault="00E252BD" w:rsidP="004D20D9">
      <w:pPr>
        <w:ind w:firstLine="426"/>
        <w:jc w:val="both"/>
        <w:rPr>
          <w:bCs/>
          <w:sz w:val="28"/>
          <w:szCs w:val="28"/>
        </w:rPr>
      </w:pPr>
    </w:p>
    <w:p w:rsidR="00E252BD" w:rsidRDefault="007D54B8" w:rsidP="004D20D9">
      <w:pPr>
        <w:ind w:firstLine="426"/>
        <w:jc w:val="both"/>
        <w:rPr>
          <w:bCs/>
          <w:sz w:val="28"/>
          <w:szCs w:val="28"/>
        </w:rPr>
      </w:pPr>
      <w:r>
        <w:rPr>
          <w:bCs/>
          <w:sz w:val="28"/>
          <w:szCs w:val="28"/>
        </w:rPr>
        <w:t>На виконання вимог законопроекту, в разі його прийняття, за наявності пропозицій Міністерства юстиції України, до Державного бюджету України можуть бути внесені відповідні зміни.</w:t>
      </w:r>
    </w:p>
    <w:p w:rsidR="00E252BD" w:rsidRDefault="00E252BD" w:rsidP="004D20D9">
      <w:pPr>
        <w:ind w:firstLine="426"/>
        <w:jc w:val="both"/>
        <w:rPr>
          <w:bCs/>
          <w:sz w:val="28"/>
          <w:szCs w:val="28"/>
        </w:rPr>
      </w:pPr>
    </w:p>
    <w:p w:rsidR="00E252BD" w:rsidRDefault="007D54B8" w:rsidP="004D20D9">
      <w:pPr>
        <w:spacing w:line="200" w:lineRule="atLeast"/>
        <w:ind w:firstLine="426"/>
        <w:jc w:val="both"/>
        <w:rPr>
          <w:rFonts w:eastAsia="Times New Roman" w:cs="Times New Roman"/>
          <w:sz w:val="28"/>
          <w:szCs w:val="28"/>
        </w:rPr>
      </w:pPr>
      <w:r>
        <w:rPr>
          <w:rFonts w:eastAsia="Times New Roman" w:cs="Times New Roman"/>
          <w:b/>
          <w:bCs/>
          <w:sz w:val="28"/>
          <w:szCs w:val="28"/>
        </w:rPr>
        <w:t>6. Запобігання корупції</w:t>
      </w:r>
    </w:p>
    <w:p w:rsidR="00E252BD" w:rsidRDefault="00E252BD" w:rsidP="004D20D9">
      <w:pPr>
        <w:spacing w:line="200" w:lineRule="atLeast"/>
        <w:ind w:firstLine="426"/>
        <w:jc w:val="both"/>
        <w:rPr>
          <w:rFonts w:eastAsia="Times New Roman" w:cs="Times New Roman"/>
          <w:sz w:val="28"/>
          <w:szCs w:val="28"/>
        </w:rPr>
      </w:pPr>
    </w:p>
    <w:p w:rsidR="00E252BD" w:rsidRDefault="007D54B8" w:rsidP="004D20D9">
      <w:pPr>
        <w:spacing w:line="200" w:lineRule="atLeast"/>
        <w:ind w:firstLine="426"/>
        <w:jc w:val="both"/>
        <w:rPr>
          <w:sz w:val="28"/>
          <w:szCs w:val="28"/>
        </w:rPr>
      </w:pPr>
      <w:r>
        <w:rPr>
          <w:rFonts w:eastAsia="Times New Roman" w:cs="Times New Roman"/>
          <w:sz w:val="28"/>
          <w:szCs w:val="28"/>
        </w:rPr>
        <w:t>У проекті Закону відсутні правила і процедури, які можуть містити ризики вчинення корупційних правопорушень.</w:t>
      </w:r>
    </w:p>
    <w:p w:rsidR="00E252BD" w:rsidRDefault="00E252BD" w:rsidP="004D20D9">
      <w:pPr>
        <w:ind w:firstLine="426"/>
        <w:jc w:val="both"/>
        <w:rPr>
          <w:sz w:val="28"/>
          <w:szCs w:val="28"/>
        </w:rPr>
      </w:pPr>
    </w:p>
    <w:p w:rsidR="00E252BD" w:rsidRDefault="007D54B8" w:rsidP="004D20D9">
      <w:pPr>
        <w:ind w:firstLine="426"/>
        <w:jc w:val="both"/>
        <w:rPr>
          <w:sz w:val="28"/>
          <w:szCs w:val="28"/>
        </w:rPr>
      </w:pPr>
      <w:r>
        <w:rPr>
          <w:b/>
          <w:bCs/>
          <w:sz w:val="28"/>
          <w:szCs w:val="28"/>
        </w:rPr>
        <w:t>7. Позиція соціальних партнерів</w:t>
      </w:r>
    </w:p>
    <w:p w:rsidR="00E252BD" w:rsidRDefault="00E252BD" w:rsidP="004D20D9">
      <w:pPr>
        <w:ind w:firstLine="426"/>
        <w:jc w:val="both"/>
        <w:rPr>
          <w:sz w:val="28"/>
          <w:szCs w:val="28"/>
        </w:rPr>
      </w:pPr>
    </w:p>
    <w:p w:rsidR="00E252BD" w:rsidRDefault="007D54B8" w:rsidP="004D20D9">
      <w:pPr>
        <w:ind w:firstLine="426"/>
        <w:jc w:val="both"/>
        <w:rPr>
          <w:sz w:val="28"/>
          <w:szCs w:val="28"/>
        </w:rPr>
      </w:pPr>
      <w:r>
        <w:rPr>
          <w:sz w:val="28"/>
          <w:szCs w:val="28"/>
        </w:rPr>
        <w:t>Проект Закону не стосується соціально-трудової сфери та не потребує узгодження із уповноваженими представниками всеукраїнських профспілок, їх об'єднань та всеукраїнських об'єднань організацій роботодавців.</w:t>
      </w:r>
    </w:p>
    <w:p w:rsidR="00E252BD" w:rsidRDefault="00E252BD" w:rsidP="004D20D9">
      <w:pPr>
        <w:ind w:firstLine="426"/>
        <w:jc w:val="both"/>
        <w:rPr>
          <w:sz w:val="28"/>
          <w:szCs w:val="28"/>
        </w:rPr>
      </w:pPr>
    </w:p>
    <w:p w:rsidR="00E252BD" w:rsidRDefault="007D54B8" w:rsidP="004D20D9">
      <w:pPr>
        <w:numPr>
          <w:ilvl w:val="0"/>
          <w:numId w:val="3"/>
        </w:numPr>
        <w:ind w:left="0" w:firstLine="426"/>
        <w:jc w:val="both"/>
        <w:rPr>
          <w:rFonts w:eastAsia="Times New Roman" w:cs="Times New Roman"/>
          <w:sz w:val="28"/>
          <w:szCs w:val="28"/>
        </w:rPr>
      </w:pPr>
      <w:r>
        <w:rPr>
          <w:b/>
          <w:bCs/>
          <w:sz w:val="28"/>
          <w:szCs w:val="28"/>
        </w:rPr>
        <w:t>Прогноз соціально-економічних та інших наслідків прийняття проекту Закону</w:t>
      </w:r>
    </w:p>
    <w:p w:rsidR="00E252BD" w:rsidRDefault="00E252BD" w:rsidP="004D20D9">
      <w:pPr>
        <w:spacing w:line="200" w:lineRule="atLeast"/>
        <w:ind w:firstLine="426"/>
        <w:jc w:val="both"/>
        <w:rPr>
          <w:rFonts w:eastAsia="Times New Roman" w:cs="Times New Roman"/>
          <w:sz w:val="28"/>
          <w:szCs w:val="28"/>
        </w:rPr>
      </w:pPr>
    </w:p>
    <w:p w:rsidR="00E252BD" w:rsidRDefault="007D54B8" w:rsidP="004D20D9">
      <w:pPr>
        <w:spacing w:line="200" w:lineRule="atLeast"/>
        <w:ind w:firstLine="426"/>
        <w:jc w:val="both"/>
        <w:rPr>
          <w:rFonts w:eastAsia="Times New Roman" w:cs="Times New Roman"/>
          <w:sz w:val="28"/>
          <w:szCs w:val="28"/>
        </w:rPr>
      </w:pPr>
      <w:r>
        <w:rPr>
          <w:rFonts w:eastAsia="Times New Roman" w:cs="Times New Roman"/>
          <w:sz w:val="28"/>
          <w:szCs w:val="28"/>
        </w:rPr>
        <w:t>Прийняття Закону забезпечить:</w:t>
      </w:r>
    </w:p>
    <w:p w:rsidR="00E252BD" w:rsidRDefault="007D54B8" w:rsidP="004D20D9">
      <w:pPr>
        <w:numPr>
          <w:ilvl w:val="2"/>
          <w:numId w:val="2"/>
        </w:numPr>
        <w:spacing w:line="200" w:lineRule="atLeast"/>
        <w:ind w:left="0" w:firstLine="426"/>
        <w:jc w:val="both"/>
        <w:rPr>
          <w:rFonts w:eastAsia="Times New Roman" w:cs="Times New Roman"/>
          <w:sz w:val="28"/>
          <w:szCs w:val="28"/>
        </w:rPr>
      </w:pPr>
      <w:r>
        <w:rPr>
          <w:rFonts w:eastAsia="Times New Roman" w:cs="Times New Roman"/>
          <w:sz w:val="28"/>
          <w:szCs w:val="28"/>
        </w:rPr>
        <w:t>зменшення ризиків корупції у процесах підготовки та прийняття нормативно-правових актів та розпорядних рішень, переведення цього процесу в правове поле;</w:t>
      </w:r>
    </w:p>
    <w:p w:rsidR="00E252BD" w:rsidRDefault="007D54B8" w:rsidP="004D20D9">
      <w:pPr>
        <w:numPr>
          <w:ilvl w:val="2"/>
          <w:numId w:val="2"/>
        </w:numPr>
        <w:spacing w:line="200" w:lineRule="atLeast"/>
        <w:ind w:left="0" w:firstLine="426"/>
        <w:jc w:val="both"/>
        <w:rPr>
          <w:rFonts w:eastAsia="Times New Roman" w:cs="Times New Roman"/>
          <w:sz w:val="28"/>
          <w:szCs w:val="28"/>
        </w:rPr>
      </w:pPr>
      <w:r>
        <w:rPr>
          <w:rFonts w:eastAsia="Times New Roman" w:cs="Times New Roman"/>
          <w:sz w:val="28"/>
          <w:szCs w:val="28"/>
        </w:rPr>
        <w:t>легалізацію професійного середовища лобістів;</w:t>
      </w:r>
    </w:p>
    <w:p w:rsidR="00E252BD" w:rsidRDefault="007D54B8" w:rsidP="004D20D9">
      <w:pPr>
        <w:numPr>
          <w:ilvl w:val="2"/>
          <w:numId w:val="2"/>
        </w:numPr>
        <w:spacing w:line="200" w:lineRule="atLeast"/>
        <w:ind w:left="0" w:firstLine="426"/>
        <w:jc w:val="both"/>
        <w:rPr>
          <w:rFonts w:eastAsia="Times New Roman" w:cs="Times New Roman"/>
          <w:sz w:val="28"/>
          <w:szCs w:val="28"/>
        </w:rPr>
      </w:pPr>
      <w:r>
        <w:rPr>
          <w:rFonts w:eastAsia="Times New Roman" w:cs="Times New Roman"/>
          <w:sz w:val="28"/>
          <w:szCs w:val="28"/>
        </w:rPr>
        <w:t>підвищення рівню професійності та прозорості в діяльності органів влади та органів місцевого самоврядування, їх посадових і службових осіб;</w:t>
      </w:r>
    </w:p>
    <w:p w:rsidR="00E252BD" w:rsidRDefault="007D54B8" w:rsidP="004D20D9">
      <w:pPr>
        <w:numPr>
          <w:ilvl w:val="2"/>
          <w:numId w:val="2"/>
        </w:numPr>
        <w:spacing w:line="200" w:lineRule="atLeast"/>
        <w:ind w:left="0" w:firstLine="426"/>
        <w:jc w:val="both"/>
        <w:rPr>
          <w:rFonts w:eastAsia="Times New Roman" w:cs="Times New Roman"/>
          <w:sz w:val="28"/>
          <w:szCs w:val="28"/>
        </w:rPr>
      </w:pPr>
      <w:r>
        <w:rPr>
          <w:rFonts w:eastAsia="Times New Roman" w:cs="Times New Roman"/>
          <w:sz w:val="28"/>
          <w:szCs w:val="28"/>
        </w:rPr>
        <w:t>краще висвітлення проблемних питань зацікавлених груп населення;</w:t>
      </w:r>
    </w:p>
    <w:p w:rsidR="00E252BD" w:rsidRDefault="007D54B8" w:rsidP="004D20D9">
      <w:pPr>
        <w:numPr>
          <w:ilvl w:val="2"/>
          <w:numId w:val="2"/>
        </w:numPr>
        <w:spacing w:line="200" w:lineRule="atLeast"/>
        <w:ind w:left="0" w:firstLine="426"/>
        <w:jc w:val="both"/>
        <w:rPr>
          <w:sz w:val="28"/>
          <w:szCs w:val="28"/>
        </w:rPr>
      </w:pPr>
      <w:r>
        <w:rPr>
          <w:rFonts w:eastAsia="Times New Roman" w:cs="Times New Roman"/>
          <w:sz w:val="28"/>
          <w:szCs w:val="28"/>
        </w:rPr>
        <w:t>зменшення можливостей для популізму та маніпуляцій суспільною думкою - через превентивне висвітлення лобіювання та діяльності учасників процесу.</w:t>
      </w:r>
      <w:r>
        <w:rPr>
          <w:sz w:val="28"/>
          <w:szCs w:val="28"/>
        </w:rPr>
        <w:t xml:space="preserve">  </w:t>
      </w:r>
    </w:p>
    <w:p w:rsidR="00E252BD" w:rsidRDefault="00E252BD" w:rsidP="004D20D9">
      <w:pPr>
        <w:ind w:firstLine="426"/>
        <w:jc w:val="both"/>
        <w:rPr>
          <w:sz w:val="28"/>
          <w:szCs w:val="28"/>
        </w:rPr>
      </w:pPr>
    </w:p>
    <w:p w:rsidR="00E252BD" w:rsidRDefault="00E252BD" w:rsidP="004D20D9">
      <w:pPr>
        <w:ind w:firstLine="426"/>
        <w:jc w:val="both"/>
        <w:rPr>
          <w:sz w:val="28"/>
          <w:szCs w:val="28"/>
        </w:rPr>
      </w:pPr>
    </w:p>
    <w:p w:rsidR="004D20D9" w:rsidRPr="005E289E" w:rsidRDefault="004D20D9" w:rsidP="004D20D9">
      <w:pPr>
        <w:pStyle w:val="BodyText21"/>
        <w:widowControl w:val="0"/>
        <w:spacing w:line="360" w:lineRule="auto"/>
        <w:ind w:left="0" w:firstLine="709"/>
        <w:rPr>
          <w:szCs w:val="24"/>
        </w:rPr>
      </w:pPr>
    </w:p>
    <w:p w:rsidR="004D20D9" w:rsidRDefault="004D20D9" w:rsidP="004D20D9">
      <w:pPr>
        <w:pStyle w:val="BodyText21"/>
        <w:widowControl w:val="0"/>
        <w:spacing w:line="360" w:lineRule="auto"/>
        <w:ind w:left="3545" w:hanging="3545"/>
        <w:rPr>
          <w:b/>
          <w:szCs w:val="24"/>
        </w:rPr>
      </w:pPr>
      <w:r w:rsidRPr="005E289E">
        <w:rPr>
          <w:b/>
          <w:szCs w:val="24"/>
        </w:rPr>
        <w:t xml:space="preserve">Народні депутати України </w:t>
      </w:r>
      <w:r w:rsidRPr="005E289E">
        <w:rPr>
          <w:b/>
          <w:szCs w:val="24"/>
        </w:rPr>
        <w:tab/>
      </w:r>
      <w:r w:rsidRPr="005E289E">
        <w:rPr>
          <w:b/>
          <w:szCs w:val="24"/>
        </w:rPr>
        <w:tab/>
      </w:r>
      <w:r w:rsidRPr="005E289E">
        <w:rPr>
          <w:b/>
          <w:szCs w:val="24"/>
        </w:rPr>
        <w:tab/>
      </w:r>
      <w:r w:rsidRPr="005E289E">
        <w:rPr>
          <w:b/>
          <w:szCs w:val="24"/>
        </w:rPr>
        <w:tab/>
      </w:r>
      <w:r>
        <w:rPr>
          <w:b/>
          <w:szCs w:val="24"/>
        </w:rPr>
        <w:tab/>
      </w:r>
      <w:r>
        <w:rPr>
          <w:b/>
          <w:szCs w:val="24"/>
        </w:rPr>
        <w:tab/>
      </w:r>
      <w:r w:rsidRPr="005E289E">
        <w:rPr>
          <w:b/>
          <w:szCs w:val="24"/>
        </w:rPr>
        <w:t xml:space="preserve">Д.Монастирський </w:t>
      </w:r>
    </w:p>
    <w:p w:rsidR="004D20D9" w:rsidRPr="005E289E" w:rsidRDefault="004D20D9" w:rsidP="004D20D9">
      <w:pPr>
        <w:pStyle w:val="BodyText21"/>
        <w:widowControl w:val="0"/>
        <w:spacing w:line="360" w:lineRule="auto"/>
        <w:ind w:left="6381" w:firstLine="709"/>
        <w:rPr>
          <w:b/>
          <w:szCs w:val="24"/>
        </w:rPr>
      </w:pPr>
      <w:r w:rsidRPr="005E289E">
        <w:rPr>
          <w:b/>
          <w:szCs w:val="24"/>
        </w:rPr>
        <w:t>П.Фролов</w:t>
      </w:r>
    </w:p>
    <w:sectPr w:rsidR="004D20D9" w:rsidRPr="005E289E">
      <w:headerReference w:type="default" r:id="rId10"/>
      <w:pgSz w:w="11906" w:h="16838"/>
      <w:pgMar w:top="1134" w:right="1134"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8DB" w:rsidRDefault="004A08DB" w:rsidP="004D20D9">
      <w:r>
        <w:separator/>
      </w:r>
    </w:p>
  </w:endnote>
  <w:endnote w:type="continuationSeparator" w:id="0">
    <w:p w:rsidR="004A08DB" w:rsidRDefault="004A08DB" w:rsidP="004D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CC"/>
    <w:family w:val="auto"/>
    <w:pitch w:val="variable"/>
  </w:font>
  <w:font w:name="Calibri Light">
    <w:panose1 w:val="020F0302020204030204"/>
    <w:charset w:val="CC"/>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Yu Mincho">
    <w:altName w:val="游明朝"/>
    <w:panose1 w:val="00000000000000000000"/>
    <w:charset w:val="80"/>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8DB" w:rsidRDefault="004A08DB" w:rsidP="004D20D9">
      <w:r>
        <w:separator/>
      </w:r>
    </w:p>
  </w:footnote>
  <w:footnote w:type="continuationSeparator" w:id="0">
    <w:p w:rsidR="004A08DB" w:rsidRDefault="004A08DB" w:rsidP="004D2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060868"/>
      <w:docPartObj>
        <w:docPartGallery w:val="Page Numbers (Top of Page)"/>
        <w:docPartUnique/>
      </w:docPartObj>
    </w:sdtPr>
    <w:sdtEndPr/>
    <w:sdtContent>
      <w:p w:rsidR="004D20D9" w:rsidRDefault="004D20D9">
        <w:pPr>
          <w:pStyle w:val="aff6"/>
          <w:jc w:val="center"/>
        </w:pPr>
        <w:r>
          <w:fldChar w:fldCharType="begin"/>
        </w:r>
        <w:r>
          <w:instrText>PAGE   \* MERGEFORMAT</w:instrText>
        </w:r>
        <w:r>
          <w:fldChar w:fldCharType="separate"/>
        </w:r>
        <w:r w:rsidR="00B849A6">
          <w:rPr>
            <w:noProof/>
          </w:rPr>
          <w:t>2</w:t>
        </w:r>
        <w:r>
          <w:fldChar w:fldCharType="end"/>
        </w:r>
      </w:p>
    </w:sdtContent>
  </w:sdt>
  <w:p w:rsidR="004D20D9" w:rsidRDefault="004D20D9">
    <w:pPr>
      <w:pStyle w:val="aff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435A"/>
    <w:multiLevelType w:val="multilevel"/>
    <w:tmpl w:val="2990D6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DF43763"/>
    <w:multiLevelType w:val="multilevel"/>
    <w:tmpl w:val="07EAF420"/>
    <w:lvl w:ilvl="0">
      <w:start w:val="1"/>
      <w:numFmt w:val="decimal"/>
      <w:lvlText w:val="%1."/>
      <w:lvlJc w:val="left"/>
      <w:pPr>
        <w:tabs>
          <w:tab w:val="num" w:pos="928"/>
        </w:tabs>
        <w:ind w:left="928" w:hanging="360"/>
      </w:pPr>
      <w:rPr>
        <w:rFonts w:cs="Times New Roman"/>
        <w:b/>
        <w:sz w:val="28"/>
        <w:szCs w:val="28"/>
      </w:rPr>
    </w:lvl>
    <w:lvl w:ilvl="1">
      <w:start w:val="1"/>
      <w:numFmt w:val="lowerLetter"/>
      <w:lvlText w:val="%2."/>
      <w:lvlJc w:val="left"/>
      <w:pPr>
        <w:tabs>
          <w:tab w:val="num" w:pos="1648"/>
        </w:tabs>
        <w:ind w:left="1648" w:hanging="360"/>
      </w:pPr>
      <w:rPr>
        <w:rFonts w:cs="Times New Roman"/>
      </w:rPr>
    </w:lvl>
    <w:lvl w:ilvl="2">
      <w:start w:val="1"/>
      <w:numFmt w:val="lowerRoman"/>
      <w:lvlText w:val="%2.%3."/>
      <w:lvlJc w:val="right"/>
      <w:pPr>
        <w:tabs>
          <w:tab w:val="num" w:pos="2368"/>
        </w:tabs>
        <w:ind w:left="2368" w:hanging="180"/>
      </w:pPr>
      <w:rPr>
        <w:rFonts w:cs="Times New Roman"/>
      </w:rPr>
    </w:lvl>
    <w:lvl w:ilvl="3">
      <w:start w:val="1"/>
      <w:numFmt w:val="decimal"/>
      <w:lvlText w:val="%2.%3.%4."/>
      <w:lvlJc w:val="left"/>
      <w:pPr>
        <w:tabs>
          <w:tab w:val="num" w:pos="3088"/>
        </w:tabs>
        <w:ind w:left="3088" w:hanging="360"/>
      </w:pPr>
      <w:rPr>
        <w:rFonts w:cs="Times New Roman"/>
      </w:rPr>
    </w:lvl>
    <w:lvl w:ilvl="4">
      <w:start w:val="1"/>
      <w:numFmt w:val="lowerLetter"/>
      <w:lvlText w:val="%2.%3.%4.%5."/>
      <w:lvlJc w:val="left"/>
      <w:pPr>
        <w:tabs>
          <w:tab w:val="num" w:pos="3808"/>
        </w:tabs>
        <w:ind w:left="3808" w:hanging="360"/>
      </w:pPr>
      <w:rPr>
        <w:rFonts w:cs="Times New Roman"/>
      </w:rPr>
    </w:lvl>
    <w:lvl w:ilvl="5">
      <w:start w:val="1"/>
      <w:numFmt w:val="lowerRoman"/>
      <w:lvlText w:val="%2.%3.%4.%5.%6."/>
      <w:lvlJc w:val="right"/>
      <w:pPr>
        <w:tabs>
          <w:tab w:val="num" w:pos="4528"/>
        </w:tabs>
        <w:ind w:left="4528" w:hanging="180"/>
      </w:pPr>
      <w:rPr>
        <w:rFonts w:cs="Times New Roman"/>
      </w:rPr>
    </w:lvl>
    <w:lvl w:ilvl="6">
      <w:start w:val="1"/>
      <w:numFmt w:val="decimal"/>
      <w:lvlText w:val="%2.%3.%4.%5.%6.%7."/>
      <w:lvlJc w:val="left"/>
      <w:pPr>
        <w:tabs>
          <w:tab w:val="num" w:pos="5248"/>
        </w:tabs>
        <w:ind w:left="5248" w:hanging="360"/>
      </w:pPr>
      <w:rPr>
        <w:rFonts w:cs="Times New Roman"/>
      </w:rPr>
    </w:lvl>
    <w:lvl w:ilvl="7">
      <w:start w:val="1"/>
      <w:numFmt w:val="lowerLetter"/>
      <w:lvlText w:val="%2.%3.%4.%5.%6.%7.%8."/>
      <w:lvlJc w:val="left"/>
      <w:pPr>
        <w:tabs>
          <w:tab w:val="num" w:pos="5968"/>
        </w:tabs>
        <w:ind w:left="5968" w:hanging="360"/>
      </w:pPr>
      <w:rPr>
        <w:rFonts w:cs="Times New Roman"/>
      </w:rPr>
    </w:lvl>
    <w:lvl w:ilvl="8">
      <w:start w:val="1"/>
      <w:numFmt w:val="lowerRoman"/>
      <w:lvlText w:val="%2.%3.%4.%5.%6.%7.%8.%9."/>
      <w:lvlJc w:val="right"/>
      <w:pPr>
        <w:tabs>
          <w:tab w:val="num" w:pos="6688"/>
        </w:tabs>
        <w:ind w:left="6688" w:hanging="180"/>
      </w:pPr>
      <w:rPr>
        <w:rFonts w:cs="Times New Roman"/>
      </w:rPr>
    </w:lvl>
  </w:abstractNum>
  <w:abstractNum w:abstractNumId="2" w15:restartNumberingAfterBreak="0">
    <w:nsid w:val="37161465"/>
    <w:multiLevelType w:val="multilevel"/>
    <w:tmpl w:val="150CC13C"/>
    <w:lvl w:ilvl="0">
      <w:start w:val="8"/>
      <w:numFmt w:val="decimal"/>
      <w:lvlText w:val="%1."/>
      <w:lvlJc w:val="left"/>
      <w:pPr>
        <w:tabs>
          <w:tab w:val="num" w:pos="720"/>
        </w:tabs>
        <w:ind w:left="720" w:hanging="360"/>
      </w:pPr>
      <w:rPr>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6631877"/>
    <w:multiLevelType w:val="multilevel"/>
    <w:tmpl w:val="80828380"/>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2BD"/>
    <w:rsid w:val="00471EDE"/>
    <w:rsid w:val="004A08DB"/>
    <w:rsid w:val="004D20D9"/>
    <w:rsid w:val="007D54B8"/>
    <w:rsid w:val="00A2630A"/>
    <w:rsid w:val="00B849A6"/>
    <w:rsid w:val="00E252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28CDC2-303A-4FBB-8CA1-42A53A439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eastAsia="SimSun" w:cs="Mangal"/>
      <w:sz w:val="24"/>
      <w:szCs w:val="24"/>
      <w:lang w:eastAsia="hi-IN" w:bidi="hi-IN"/>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cs="Times New Roman"/>
      <w:b/>
      <w:sz w:val="28"/>
      <w:szCs w:val="28"/>
    </w:rPr>
  </w:style>
  <w:style w:type="character" w:customStyle="1" w:styleId="WW8Num1z1">
    <w:name w:val="WW8Num1z1"/>
    <w:rPr>
      <w:rFonts w:cs="Times New Roman"/>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ListLabel1">
    <w:name w:val="ListLabel 1"/>
    <w:rPr>
      <w:rFonts w:cs="Times New Roman"/>
      <w:b/>
      <w:sz w:val="28"/>
      <w:szCs w:val="28"/>
    </w:rPr>
  </w:style>
  <w:style w:type="character" w:customStyle="1" w:styleId="ListLabel2">
    <w:name w:val="ListLabel 2"/>
    <w:rPr>
      <w:rFonts w:cs="Times New Roman"/>
    </w:rPr>
  </w:style>
  <w:style w:type="character" w:customStyle="1" w:styleId="a3">
    <w:name w:val="Символ нумерации"/>
    <w:rPr>
      <w:sz w:val="28"/>
      <w:szCs w:val="28"/>
    </w:rPr>
  </w:style>
  <w:style w:type="character" w:customStyle="1" w:styleId="RTFNum21">
    <w:name w:val="RTF_Num 2 1"/>
    <w:rPr>
      <w:rFonts w:ascii="Times New Roman" w:eastAsia="Times New Roman" w:hAnsi="Times New Roman" w:cs="Times New Roman"/>
    </w:rPr>
  </w:style>
  <w:style w:type="character" w:customStyle="1" w:styleId="RTFNum22">
    <w:name w:val="RTF_Num 2 2"/>
    <w:rPr>
      <w:rFonts w:ascii="Courier New" w:eastAsia="Courier New" w:hAnsi="Courier New" w:cs="Courier New"/>
    </w:rPr>
  </w:style>
  <w:style w:type="character" w:customStyle="1" w:styleId="RTFNum23">
    <w:name w:val="RTF_Num 2 3"/>
    <w:rPr>
      <w:rFonts w:ascii="Wingdings" w:eastAsia="Wingdings" w:hAnsi="Wingdings" w:cs="Wingdings"/>
    </w:rPr>
  </w:style>
  <w:style w:type="character" w:customStyle="1" w:styleId="RTFNum24">
    <w:name w:val="RTF_Num 2 4"/>
    <w:rPr>
      <w:rFonts w:ascii="Symbol" w:eastAsia="Symbol" w:hAnsi="Symbol" w:cs="Symbol"/>
    </w:rPr>
  </w:style>
  <w:style w:type="character" w:customStyle="1" w:styleId="RTFNum25">
    <w:name w:val="RTF_Num 2 5"/>
    <w:rPr>
      <w:rFonts w:ascii="Courier New" w:eastAsia="Courier New" w:hAnsi="Courier New" w:cs="Courier New"/>
    </w:rPr>
  </w:style>
  <w:style w:type="character" w:customStyle="1" w:styleId="RTFNum26">
    <w:name w:val="RTF_Num 2 6"/>
    <w:rPr>
      <w:rFonts w:ascii="Wingdings" w:eastAsia="Wingdings" w:hAnsi="Wingdings" w:cs="Wingdings"/>
    </w:rPr>
  </w:style>
  <w:style w:type="character" w:customStyle="1" w:styleId="RTFNum27">
    <w:name w:val="RTF_Num 2 7"/>
    <w:rPr>
      <w:rFonts w:ascii="Symbol" w:eastAsia="Symbol" w:hAnsi="Symbol" w:cs="Symbol"/>
    </w:rPr>
  </w:style>
  <w:style w:type="character" w:customStyle="1" w:styleId="RTFNum28">
    <w:name w:val="RTF_Num 2 8"/>
    <w:rPr>
      <w:rFonts w:ascii="Courier New" w:eastAsia="Courier New" w:hAnsi="Courier New" w:cs="Courier New"/>
    </w:rPr>
  </w:style>
  <w:style w:type="character" w:customStyle="1" w:styleId="RTFNum29">
    <w:name w:val="RTF_Num 2 9"/>
    <w:rPr>
      <w:rFonts w:ascii="Wingdings" w:eastAsia="Wingdings" w:hAnsi="Wingdings" w:cs="Wingdings"/>
    </w:rPr>
  </w:style>
  <w:style w:type="paragraph" w:customStyle="1" w:styleId="a4">
    <w:name w:val="Заголовок"/>
    <w:basedOn w:val="a"/>
    <w:next w:val="a5"/>
    <w:pPr>
      <w:keepNext/>
      <w:spacing w:before="240" w:after="120"/>
    </w:pPr>
    <w:rPr>
      <w:rFonts w:ascii="Arial" w:eastAsia="Microsoft YaHei" w:hAnsi="Arial"/>
      <w:sz w:val="28"/>
      <w:szCs w:val="28"/>
    </w:rPr>
  </w:style>
  <w:style w:type="paragraph" w:styleId="a5">
    <w:name w:val="Body Text"/>
    <w:basedOn w:val="a"/>
    <w:pPr>
      <w:spacing w:after="120"/>
    </w:pPr>
  </w:style>
  <w:style w:type="paragraph" w:styleId="a6">
    <w:name w:val="List"/>
    <w:basedOn w:val="a5"/>
  </w:style>
  <w:style w:type="paragraph" w:customStyle="1" w:styleId="a7">
    <w:name w:val="Название"/>
    <w:basedOn w:val="a"/>
    <w:pPr>
      <w:spacing w:before="120" w:after="120"/>
    </w:pPr>
    <w:rPr>
      <w:i/>
      <w:iCs/>
    </w:rPr>
  </w:style>
  <w:style w:type="paragraph" w:customStyle="1" w:styleId="a8">
    <w:name w:val="Указатель"/>
    <w:basedOn w:val="a"/>
  </w:style>
  <w:style w:type="paragraph" w:styleId="a9">
    <w:name w:val="Title"/>
    <w:basedOn w:val="a"/>
    <w:next w:val="aa"/>
    <w:link w:val="ab"/>
    <w:pPr>
      <w:shd w:val="clear" w:color="auto" w:fill="FFFFFF"/>
      <w:spacing w:line="322" w:lineRule="exact"/>
      <w:ind w:right="14"/>
      <w:jc w:val="center"/>
    </w:pPr>
    <w:rPr>
      <w:b/>
      <w:bCs/>
      <w:color w:val="000000"/>
      <w:spacing w:val="-24"/>
      <w:sz w:val="28"/>
      <w:szCs w:val="30"/>
    </w:rPr>
  </w:style>
  <w:style w:type="paragraph" w:styleId="aa">
    <w:name w:val="Subtitle"/>
    <w:basedOn w:val="a4"/>
    <w:next w:val="a5"/>
    <w:link w:val="ac"/>
    <w:pPr>
      <w:jc w:val="center"/>
    </w:pPr>
    <w:rPr>
      <w:i/>
      <w:iCs/>
    </w:rPr>
  </w:style>
  <w:style w:type="paragraph" w:styleId="ad">
    <w:name w:val="Body Text Indent"/>
    <w:basedOn w:val="a"/>
    <w:pPr>
      <w:shd w:val="clear" w:color="auto" w:fill="FFFFFF"/>
      <w:ind w:left="283" w:right="14" w:firstLine="426"/>
      <w:jc w:val="center"/>
    </w:pPr>
    <w:rPr>
      <w:sz w:val="28"/>
    </w:rPr>
  </w:style>
  <w:style w:type="paragraph" w:customStyle="1" w:styleId="ae">
    <w:name w:val="Текст в заданном формате"/>
    <w:basedOn w:val="a"/>
    <w:rPr>
      <w:rFonts w:ascii="Courier New" w:eastAsia="NSimSun" w:hAnsi="Courier New" w:cs="Courier New"/>
      <w:sz w:val="20"/>
      <w:szCs w:val="20"/>
    </w:rPr>
  </w:style>
  <w:style w:type="paragraph" w:customStyle="1" w:styleId="Normal1">
    <w:name w:val="Normal1"/>
    <w:rPr>
      <w:color w:val="000000"/>
      <w:lang w:eastAsia="ar-SA"/>
    </w:rPr>
  </w:style>
  <w:style w:type="paragraph" w:customStyle="1" w:styleId="af">
    <w:name w:val="Абзац списка"/>
    <w:basedOn w:val="a"/>
    <w:pPr>
      <w:ind w:left="720"/>
    </w:pPr>
  </w:style>
  <w:style w:type="paragraph" w:styleId="af0">
    <w:name w:val="No Spacing"/>
    <w:uiPriority w:val="1"/>
    <w:qFormat/>
  </w:style>
  <w:style w:type="character" w:customStyle="1" w:styleId="10">
    <w:name w:val="Заголовок 1 Знак"/>
    <w:basedOn w:val="a0"/>
    <w:link w:val="1"/>
    <w:uiPriority w:val="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rPr>
      <w:rFonts w:asciiTheme="majorHAnsi" w:eastAsiaTheme="majorEastAsia" w:hAnsiTheme="majorHAnsi" w:cstheme="majorBidi"/>
      <w:b/>
      <w:bCs/>
      <w:i/>
      <w:iCs/>
      <w:color w:val="4472C4" w:themeColor="accent1"/>
    </w:rPr>
  </w:style>
  <w:style w:type="character" w:customStyle="1" w:styleId="50">
    <w:name w:val="Заголовок 5 Знак"/>
    <w:basedOn w:val="a0"/>
    <w:link w:val="5"/>
    <w:uiPriority w:val="9"/>
    <w:rPr>
      <w:rFonts w:asciiTheme="majorHAnsi" w:eastAsiaTheme="majorEastAsia" w:hAnsiTheme="majorHAnsi" w:cstheme="majorBidi"/>
      <w:color w:val="1F3763" w:themeColor="accent1" w:themeShade="7F"/>
    </w:rPr>
  </w:style>
  <w:style w:type="character" w:customStyle="1" w:styleId="60">
    <w:name w:val="Заголовок 6 Знак"/>
    <w:basedOn w:val="a0"/>
    <w:link w:val="6"/>
    <w:uiPriority w:val="9"/>
    <w:rPr>
      <w:rFonts w:asciiTheme="majorHAnsi" w:eastAsiaTheme="majorEastAsia" w:hAnsiTheme="majorHAnsi" w:cstheme="majorBidi"/>
      <w:i/>
      <w:iCs/>
      <w:color w:val="1F3763" w:themeColor="accent1" w:themeShade="7F"/>
    </w:rPr>
  </w:style>
  <w:style w:type="character" w:customStyle="1" w:styleId="70">
    <w:name w:val="Заголовок 7 Знак"/>
    <w:basedOn w:val="a0"/>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Pr>
      <w:rFonts w:asciiTheme="majorHAnsi" w:eastAsiaTheme="majorEastAsia" w:hAnsiTheme="majorHAnsi" w:cstheme="majorBidi"/>
      <w:i/>
      <w:iCs/>
      <w:color w:val="404040" w:themeColor="text1" w:themeTint="BF"/>
      <w:sz w:val="20"/>
      <w:szCs w:val="20"/>
    </w:rPr>
  </w:style>
  <w:style w:type="character" w:customStyle="1" w:styleId="ab">
    <w:name w:val="Назва Знак"/>
    <w:basedOn w:val="a0"/>
    <w:link w:val="a9"/>
    <w:uiPriority w:val="10"/>
    <w:rPr>
      <w:rFonts w:asciiTheme="majorHAnsi" w:eastAsiaTheme="majorEastAsia" w:hAnsiTheme="majorHAnsi" w:cstheme="majorBidi"/>
      <w:color w:val="323E4F" w:themeColor="text2" w:themeShade="BF"/>
      <w:spacing w:val="5"/>
      <w:sz w:val="52"/>
      <w:szCs w:val="52"/>
    </w:rPr>
  </w:style>
  <w:style w:type="character" w:customStyle="1" w:styleId="ac">
    <w:name w:val="Підзаголовок Знак"/>
    <w:basedOn w:val="a0"/>
    <w:link w:val="aa"/>
    <w:uiPriority w:val="11"/>
    <w:rPr>
      <w:rFonts w:asciiTheme="majorHAnsi" w:eastAsiaTheme="majorEastAsia" w:hAnsiTheme="majorHAnsi" w:cstheme="majorBidi"/>
      <w:i/>
      <w:iCs/>
      <w:color w:val="4472C4" w:themeColor="accent1"/>
      <w:spacing w:val="15"/>
      <w:sz w:val="24"/>
      <w:szCs w:val="24"/>
    </w:rPr>
  </w:style>
  <w:style w:type="character" w:styleId="af1">
    <w:name w:val="Subtle Emphasis"/>
    <w:basedOn w:val="a0"/>
    <w:uiPriority w:val="19"/>
    <w:qFormat/>
    <w:rPr>
      <w:i/>
      <w:iCs/>
      <w:color w:val="808080" w:themeColor="text1" w:themeTint="7F"/>
    </w:rPr>
  </w:style>
  <w:style w:type="character" w:styleId="af2">
    <w:name w:val="Emphasis"/>
    <w:basedOn w:val="a0"/>
    <w:uiPriority w:val="20"/>
    <w:qFormat/>
    <w:rPr>
      <w:i/>
      <w:iCs/>
    </w:rPr>
  </w:style>
  <w:style w:type="character" w:styleId="af3">
    <w:name w:val="Intense Emphasis"/>
    <w:basedOn w:val="a0"/>
    <w:uiPriority w:val="21"/>
    <w:qFormat/>
    <w:rPr>
      <w:b/>
      <w:bCs/>
      <w:i/>
      <w:iCs/>
      <w:color w:val="4472C4" w:themeColor="accent1"/>
    </w:rPr>
  </w:style>
  <w:style w:type="character" w:styleId="af4">
    <w:name w:val="Strong"/>
    <w:basedOn w:val="a0"/>
    <w:uiPriority w:val="22"/>
    <w:qFormat/>
    <w:rPr>
      <w:b/>
      <w:bCs/>
    </w:rPr>
  </w:style>
  <w:style w:type="paragraph" w:styleId="af5">
    <w:name w:val="Quote"/>
    <w:basedOn w:val="a"/>
    <w:next w:val="a"/>
    <w:link w:val="af6"/>
    <w:uiPriority w:val="29"/>
    <w:qFormat/>
    <w:rPr>
      <w:i/>
      <w:iCs/>
      <w:color w:val="000000" w:themeColor="text1"/>
    </w:rPr>
  </w:style>
  <w:style w:type="character" w:customStyle="1" w:styleId="af6">
    <w:name w:val="Цитата Знак"/>
    <w:basedOn w:val="a0"/>
    <w:link w:val="af5"/>
    <w:uiPriority w:val="29"/>
    <w:rPr>
      <w:i/>
      <w:iCs/>
      <w:color w:val="000000" w:themeColor="text1"/>
    </w:rPr>
  </w:style>
  <w:style w:type="paragraph" w:styleId="af7">
    <w:name w:val="Intense Quote"/>
    <w:basedOn w:val="a"/>
    <w:next w:val="a"/>
    <w:link w:val="af8"/>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af8">
    <w:name w:val="Насичена цитата Знак"/>
    <w:basedOn w:val="a0"/>
    <w:link w:val="af7"/>
    <w:uiPriority w:val="30"/>
    <w:rPr>
      <w:b/>
      <w:bCs/>
      <w:i/>
      <w:iCs/>
      <w:color w:val="4472C4" w:themeColor="accent1"/>
    </w:rPr>
  </w:style>
  <w:style w:type="character" w:styleId="af9">
    <w:name w:val="Subtle Reference"/>
    <w:basedOn w:val="a0"/>
    <w:uiPriority w:val="31"/>
    <w:qFormat/>
    <w:rPr>
      <w:smallCaps/>
      <w:color w:val="ED7D31" w:themeColor="accent2"/>
      <w:u w:val="single"/>
    </w:rPr>
  </w:style>
  <w:style w:type="character" w:styleId="afa">
    <w:name w:val="Intense Reference"/>
    <w:basedOn w:val="a0"/>
    <w:uiPriority w:val="32"/>
    <w:qFormat/>
    <w:rPr>
      <w:b/>
      <w:bCs/>
      <w:smallCaps/>
      <w:color w:val="ED7D31" w:themeColor="accent2"/>
      <w:spacing w:val="5"/>
      <w:u w:val="single"/>
    </w:rPr>
  </w:style>
  <w:style w:type="character" w:styleId="afb">
    <w:name w:val="Book Title"/>
    <w:basedOn w:val="a0"/>
    <w:uiPriority w:val="33"/>
    <w:qFormat/>
    <w:rPr>
      <w:b/>
      <w:bCs/>
      <w:smallCaps/>
      <w:spacing w:val="5"/>
    </w:rPr>
  </w:style>
  <w:style w:type="paragraph" w:styleId="afc">
    <w:name w:val="List Paragraph"/>
    <w:basedOn w:val="a"/>
    <w:uiPriority w:val="34"/>
    <w:qFormat/>
    <w:pPr>
      <w:ind w:left="720"/>
      <w:contextualSpacing/>
    </w:pPr>
  </w:style>
  <w:style w:type="paragraph" w:styleId="afd">
    <w:name w:val="footnote text"/>
    <w:basedOn w:val="a"/>
    <w:link w:val="afe"/>
    <w:uiPriority w:val="99"/>
    <w:semiHidden/>
    <w:unhideWhenUsed/>
    <w:rPr>
      <w:sz w:val="20"/>
      <w:szCs w:val="20"/>
    </w:rPr>
  </w:style>
  <w:style w:type="character" w:customStyle="1" w:styleId="afe">
    <w:name w:val="Текст виноски Знак"/>
    <w:basedOn w:val="a0"/>
    <w:link w:val="afd"/>
    <w:uiPriority w:val="99"/>
    <w:semiHidden/>
    <w:rPr>
      <w:sz w:val="20"/>
      <w:szCs w:val="20"/>
    </w:rPr>
  </w:style>
  <w:style w:type="character" w:styleId="aff">
    <w:name w:val="footnote reference"/>
    <w:basedOn w:val="a0"/>
    <w:uiPriority w:val="99"/>
    <w:semiHidden/>
    <w:unhideWhenUsed/>
    <w:rPr>
      <w:vertAlign w:val="superscript"/>
    </w:rPr>
  </w:style>
  <w:style w:type="paragraph" w:styleId="aff0">
    <w:name w:val="endnote text"/>
    <w:basedOn w:val="a"/>
    <w:link w:val="aff1"/>
    <w:uiPriority w:val="99"/>
    <w:semiHidden/>
    <w:unhideWhenUsed/>
    <w:rPr>
      <w:sz w:val="20"/>
      <w:szCs w:val="20"/>
    </w:rPr>
  </w:style>
  <w:style w:type="character" w:customStyle="1" w:styleId="aff1">
    <w:name w:val="Текст кінцевої виноски Знак"/>
    <w:basedOn w:val="a0"/>
    <w:link w:val="aff0"/>
    <w:uiPriority w:val="99"/>
    <w:semiHidden/>
    <w:rPr>
      <w:sz w:val="20"/>
      <w:szCs w:val="20"/>
    </w:rPr>
  </w:style>
  <w:style w:type="character" w:styleId="aff2">
    <w:name w:val="endnote reference"/>
    <w:basedOn w:val="a0"/>
    <w:uiPriority w:val="99"/>
    <w:semiHidden/>
    <w:unhideWhenUsed/>
    <w:rPr>
      <w:vertAlign w:val="superscript"/>
    </w:rPr>
  </w:style>
  <w:style w:type="character" w:styleId="aff3">
    <w:name w:val="Hyperlink"/>
    <w:basedOn w:val="a0"/>
    <w:uiPriority w:val="99"/>
    <w:unhideWhenUsed/>
    <w:rPr>
      <w:color w:val="0563C1" w:themeColor="hyperlink"/>
      <w:u w:val="single"/>
    </w:rPr>
  </w:style>
  <w:style w:type="paragraph" w:styleId="aff4">
    <w:name w:val="Plain Text"/>
    <w:basedOn w:val="a"/>
    <w:link w:val="aff5"/>
    <w:uiPriority w:val="99"/>
    <w:semiHidden/>
    <w:unhideWhenUsed/>
    <w:rPr>
      <w:rFonts w:ascii="Courier New" w:hAnsi="Courier New" w:cs="Courier New"/>
      <w:sz w:val="21"/>
      <w:szCs w:val="21"/>
    </w:rPr>
  </w:style>
  <w:style w:type="character" w:customStyle="1" w:styleId="aff5">
    <w:name w:val="Текст Знак"/>
    <w:basedOn w:val="a0"/>
    <w:link w:val="aff4"/>
    <w:uiPriority w:val="99"/>
    <w:rPr>
      <w:rFonts w:ascii="Courier New" w:hAnsi="Courier New" w:cs="Courier New"/>
      <w:sz w:val="21"/>
      <w:szCs w:val="21"/>
    </w:rPr>
  </w:style>
  <w:style w:type="paragraph" w:styleId="aff6">
    <w:name w:val="header"/>
    <w:basedOn w:val="a"/>
    <w:link w:val="aff7"/>
    <w:uiPriority w:val="99"/>
    <w:unhideWhenUsed/>
  </w:style>
  <w:style w:type="character" w:customStyle="1" w:styleId="aff7">
    <w:name w:val="Верхній колонтитул Знак"/>
    <w:basedOn w:val="a0"/>
    <w:link w:val="aff6"/>
    <w:uiPriority w:val="99"/>
  </w:style>
  <w:style w:type="paragraph" w:styleId="aff8">
    <w:name w:val="footer"/>
    <w:basedOn w:val="a"/>
    <w:link w:val="aff9"/>
    <w:uiPriority w:val="99"/>
    <w:unhideWhenUsed/>
  </w:style>
  <w:style w:type="character" w:customStyle="1" w:styleId="aff9">
    <w:name w:val="Нижній колонтитул Знак"/>
    <w:basedOn w:val="a0"/>
    <w:link w:val="aff8"/>
    <w:uiPriority w:val="99"/>
  </w:style>
  <w:style w:type="paragraph" w:customStyle="1" w:styleId="BodyText21">
    <w:name w:val="Body Text 21"/>
    <w:basedOn w:val="a"/>
    <w:uiPriority w:val="99"/>
    <w:rsid w:val="004D20D9"/>
    <w:pPr>
      <w:autoSpaceDE w:val="0"/>
      <w:autoSpaceDN w:val="0"/>
      <w:ind w:left="6480"/>
      <w:jc w:val="both"/>
    </w:pPr>
    <w:rPr>
      <w:rFonts w:eastAsia="Times New Roman" w:cs="Times New Roman"/>
      <w:sz w:val="28"/>
      <w:szCs w:val="28"/>
      <w:lang w:eastAsia="uk-U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Офісна тема">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0157D6-BE97-4AC2-AE84-162EEF3734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194E1-FA4D-4C4D-8838-30DD561F598F}">
  <ds:schemaRefs>
    <ds:schemaRef ds:uri="http://schemas.microsoft.com/sharepoint/v3/contenttype/forms"/>
  </ds:schemaRefs>
</ds:datastoreItem>
</file>

<file path=customXml/itemProps3.xml><?xml version="1.0" encoding="utf-8"?>
<ds:datastoreItem xmlns:ds="http://schemas.openxmlformats.org/officeDocument/2006/customXml" ds:itemID="{DEC16993-5487-49A8-8700-8FCA57B0311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4012</Words>
  <Characters>2287</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2020-03-03T13:01:00Z</dcterms:created>
  <dcterms:modified xsi:type="dcterms:W3CDTF">2020-03-03T13:01:00Z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