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3230" w:rsidRDefault="00E353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ПОРІВНЯЛЬНА ТАБЛИЦЯ</w:t>
      </w:r>
    </w:p>
    <w:p w:rsidR="00633230" w:rsidRDefault="00E3537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center"/>
        <w:rPr>
          <w:rFonts w:eastAsia="Times New Roman" w:cs="Times New Roman"/>
          <w:b/>
          <w:color w:val="000000"/>
          <w:sz w:val="28"/>
          <w:szCs w:val="28"/>
        </w:rPr>
      </w:pPr>
      <w:r>
        <w:rPr>
          <w:rFonts w:eastAsia="Times New Roman" w:cs="Times New Roman"/>
          <w:b/>
          <w:color w:val="000000"/>
          <w:sz w:val="28"/>
          <w:szCs w:val="28"/>
        </w:rPr>
        <w:t>до проекту Закону України «</w:t>
      </w:r>
      <w:r>
        <w:rPr>
          <w:b/>
          <w:sz w:val="28"/>
          <w:szCs w:val="28"/>
        </w:rPr>
        <w:t xml:space="preserve">Про </w:t>
      </w:r>
      <w:r>
        <w:rPr>
          <w:b/>
          <w:sz w:val="28"/>
          <w:szCs w:val="28"/>
          <w:highlight w:val="white"/>
        </w:rPr>
        <w:t>внесення змін до деяких законодавчих актів України щодо вдосконалення механізмів протидії корупції в окремих правоохоронних та інших державних органах</w:t>
      </w:r>
      <w:r>
        <w:rPr>
          <w:rFonts w:eastAsia="Times New Roman" w:cs="Times New Roman"/>
          <w:b/>
          <w:color w:val="000000"/>
          <w:sz w:val="28"/>
          <w:szCs w:val="28"/>
        </w:rPr>
        <w:t>»</w:t>
      </w:r>
    </w:p>
    <w:p w:rsidR="00633230" w:rsidRDefault="00633230">
      <w:pPr>
        <w:jc w:val="center"/>
        <w:rPr>
          <w:b/>
          <w:sz w:val="28"/>
          <w:szCs w:val="28"/>
        </w:rPr>
      </w:pPr>
    </w:p>
    <w:tbl>
      <w:tblPr>
        <w:tblStyle w:val="ac"/>
        <w:tblW w:w="21897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7299"/>
        <w:gridCol w:w="7299"/>
        <w:gridCol w:w="7299"/>
      </w:tblGrid>
      <w:tr w:rsidR="00633230">
        <w:trPr>
          <w:gridAfter w:val="1"/>
          <w:wAfter w:w="7299" w:type="dxa"/>
          <w:trHeight w:val="20"/>
        </w:trPr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3230" w:rsidRDefault="00E353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425"/>
              <w:jc w:val="center"/>
              <w:rPr>
                <w:rFonts w:eastAsia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 xml:space="preserve">Зміст положення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акта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 xml:space="preserve"> законодавства</w:t>
            </w: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30" w:rsidRDefault="00E353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425"/>
              <w:jc w:val="center"/>
              <w:rPr>
                <w:rFonts w:eastAsia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 xml:space="preserve">Зміст відповідного положення проекту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акта</w:t>
            </w:r>
            <w:proofErr w:type="spellEnd"/>
          </w:p>
        </w:tc>
      </w:tr>
      <w:tr w:rsidR="00633230">
        <w:trPr>
          <w:gridAfter w:val="1"/>
          <w:wAfter w:w="7299" w:type="dxa"/>
          <w:trHeight w:val="20"/>
        </w:trPr>
        <w:tc>
          <w:tcPr>
            <w:tcW w:w="14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firstLine="360"/>
              <w:jc w:val="center"/>
              <w:rPr>
                <w:rFonts w:eastAsia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color w:val="000000"/>
                <w:sz w:val="28"/>
                <w:szCs w:val="28"/>
                <w:highlight w:val="white"/>
              </w:rPr>
              <w:t>Закон України «Про державну охорону органів державної влади України та посадових осіб»</w:t>
            </w:r>
          </w:p>
        </w:tc>
      </w:tr>
      <w:tr w:rsidR="00633230">
        <w:trPr>
          <w:gridAfter w:val="1"/>
          <w:wAfter w:w="7299" w:type="dxa"/>
          <w:trHeight w:val="20"/>
        </w:trPr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right="101"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Стаття 16.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 Кадри Управління державної охорони України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right="101"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…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right="101"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Не може бути прийнятий на службу в Управління державної охорони України громадянин, який має не погашену або не зняту судимість за вчинення злочину, крім реабілітованого, або на якого протягом останнього року накладалося адміністративне стягнення за вчинен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ня </w:t>
            </w: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корупційного правопорушення,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 або якому відповідно до вимог законодавства не може бути надано допуск до державної таємниці.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right="101"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…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right="101"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Військовослужбовці Управління державної охорони України, яких притягнуто до відповідальності за вчинення кримінального правопору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шення з призначенням покарання у виді позбавлення волі, обмеження волі, позбавлення права обіймати певні посади чи позбавлення військового звання або </w:t>
            </w: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за вчинення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адміністративного корупційного правопорушення, пов’язаного з порушенням обмежень, передбачених</w:t>
            </w: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 </w:t>
            </w:r>
            <w:hyperlink r:id="rId5">
              <w:r>
                <w:rPr>
                  <w:rFonts w:eastAsia="Times New Roman" w:cs="Times New Roman"/>
                  <w:b/>
                  <w:color w:val="0000FF"/>
                  <w:sz w:val="28"/>
                  <w:szCs w:val="28"/>
                  <w:u w:val="single"/>
                </w:rPr>
                <w:t>Законом України</w:t>
              </w:r>
            </w:hyperlink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 "Про засади запобігання і протидії корупції",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 підлягають звільненню із служби.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right="101" w:firstLine="360"/>
              <w:jc w:val="both"/>
              <w:rPr>
                <w:rFonts w:eastAsia="Times New Roman" w:cs="Times New Roman"/>
                <w:b/>
                <w:color w:val="000000"/>
                <w:sz w:val="28"/>
                <w:szCs w:val="28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lastRenderedPageBreak/>
              <w:t>...</w:t>
            </w: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right="101"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lastRenderedPageBreak/>
              <w:t>Стаття 16.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 Кадри Управління державної охорони України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right="101"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…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right="101"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Не може бути прийнятий на службу в Управління державної охорони України громадянин, який має не погашену або не зняту судимість за вчинення злочину, крім реабілітованого, або на якого протягом останнього року накладалося адміністративне стягнення за вчинен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ня </w:t>
            </w: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правопорушення, пов’язаного з корупцією,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 або якому відповідно до вимог законодавства не може бути надано допуск до державної таємниці.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right="101"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…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right="101"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Військовослужбовці Управління державної охорони України, яких притягнуто до відповідальності за вчинення кримінально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го правопорушення з призначенням покарання у виді позбавлення волі, обмеження волі, позбавлення права обіймати певні посади чи позбавлення військового звання або </w:t>
            </w: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до адміністративної відповідальності за вчинення правопорушення, пов’язаного з корупцією,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 підл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ягають звільненню із служби.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right="101" w:firstLine="360"/>
              <w:jc w:val="both"/>
              <w:rPr>
                <w:rFonts w:eastAsia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…</w:t>
            </w:r>
          </w:p>
        </w:tc>
      </w:tr>
      <w:tr w:rsidR="00633230">
        <w:trPr>
          <w:gridAfter w:val="1"/>
          <w:wAfter w:w="7299" w:type="dxa"/>
          <w:trHeight w:val="20"/>
        </w:trPr>
        <w:tc>
          <w:tcPr>
            <w:tcW w:w="14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30" w:rsidRDefault="00E353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101" w:firstLine="425"/>
              <w:jc w:val="center"/>
              <w:rPr>
                <w:rFonts w:eastAsia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Закон України «Про Національне антикорупційне бюро України»</w:t>
            </w:r>
          </w:p>
        </w:tc>
      </w:tr>
      <w:tr w:rsidR="00633230">
        <w:trPr>
          <w:gridAfter w:val="1"/>
          <w:wAfter w:w="7299" w:type="dxa"/>
          <w:trHeight w:val="20"/>
        </w:trPr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right="101" w:firstLine="45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bookmarkStart w:id="0" w:name="bookmark=id.gjdgxs" w:colFirst="0" w:colLast="0"/>
            <w:bookmarkEnd w:id="0"/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Стаття 6. 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Директор Національного бюро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right="101" w:firstLine="45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1. Керівництво діяльністю Національного бюро здійснює його Директор, який призначається на посаду та звільняється з посади Президентом України в порядку, визначеному цим Законом.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right="101" w:firstLine="45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Верховна Рада України за наявності підстав, визначених </w:t>
            </w:r>
            <w:hyperlink r:id="rId6" w:anchor="n61">
              <w:r>
                <w:rPr>
                  <w:rFonts w:eastAsia="Times New Roman" w:cs="Times New Roman"/>
                  <w:color w:val="0000FF"/>
                  <w:sz w:val="28"/>
                  <w:szCs w:val="28"/>
                  <w:u w:val="single"/>
                </w:rPr>
                <w:t>пунктами 6-12</w:t>
              </w:r>
            </w:hyperlink>
            <w:r>
              <w:rPr>
                <w:rFonts w:eastAsia="Times New Roman" w:cs="Times New Roman"/>
                <w:color w:val="000000"/>
                <w:sz w:val="28"/>
                <w:szCs w:val="28"/>
              </w:rPr>
              <w:t> частини четвертої цієї статті, за пропозицією не менш як третини народних депутатів України від конституційного складу Верховної Ради України може прийняти рішення про звільнення Директора Національного бюро з посади.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2175"/>
              </w:tabs>
              <w:spacing w:after="150"/>
              <w:ind w:right="101" w:firstLine="45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…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ab/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right="101" w:firstLine="45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4. Повноваження Директора Національного бюро припиняються у зв’язку із закінченням строку його повноважень або смертю.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right="101" w:firstLine="45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Директор Національного бюро звільняється з посади в разі: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right="101" w:firstLine="45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…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2175"/>
              </w:tabs>
              <w:spacing w:after="150"/>
              <w:ind w:right="101" w:firstLine="45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13) набрання законної сили рішенням суду про визнання його активів чи активів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, набутих за його дорученням іншими особами або в інших передбачених</w:t>
            </w:r>
            <w:hyperlink r:id="rId7" w:anchor="n8233">
              <w:r>
                <w:rPr>
                  <w:rFonts w:eastAsia="Times New Roman" w:cs="Times New Roman"/>
                  <w:color w:val="0000FF"/>
                  <w:sz w:val="28"/>
                  <w:szCs w:val="28"/>
                  <w:u w:val="single"/>
                </w:rPr>
                <w:t> статтею 290</w:t>
              </w:r>
            </w:hyperlink>
            <w:r>
              <w:rPr>
                <w:rFonts w:eastAsia="Times New Roman" w:cs="Times New Roman"/>
                <w:color w:val="000000"/>
                <w:sz w:val="28"/>
                <w:szCs w:val="28"/>
              </w:rPr>
              <w:t> Цивільного процесуального кодексу України випадках, необґрунтованими та їх стягнення в дохід держави</w:t>
            </w: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.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right="101" w:firstLine="450"/>
              <w:jc w:val="both"/>
              <w:rPr>
                <w:rFonts w:eastAsia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lastRenderedPageBreak/>
              <w:t>Пункт відсутній.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right="101" w:firstLine="45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lastRenderedPageBreak/>
              <w:t>Стаття 6. 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Директор Національного бюро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1. Керівництво діяльністю Національного бюро здійснює його Директор, який призначається на посаду та звільняється з посади Президентом України в порядку, визначеному цим Законом.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right="101" w:firstLine="45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Верховна Рада України за наявності підстав, визначених </w:t>
            </w: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пунктами 6-14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 частини четвертої цієї статті, за пропозицією не менш як третини народних депутатів України від конституційного складу Верховної Ради України може прийняти рішення про звільнення Директор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а Національного бюро з посади.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…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right="101" w:firstLine="45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4. Повноваження Директора Національного бюро припиняються у зв’язку із закінченням строку його повноважень або смертю.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right="101" w:firstLine="45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Директор Національного бюро звільняється з посади в разі: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…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2175"/>
              </w:tabs>
              <w:spacing w:after="150"/>
              <w:ind w:right="101" w:firstLine="45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13) набрання законної сили рішенням суду про визнання його активів чи активів, набутих за його дорученням іншими особами або в інших передбачених</w:t>
            </w:r>
            <w:hyperlink r:id="rId8" w:anchor="n8233">
              <w:r>
                <w:rPr>
                  <w:rFonts w:eastAsia="Times New Roman" w:cs="Times New Roman"/>
                  <w:color w:val="0000FF"/>
                  <w:sz w:val="28"/>
                  <w:szCs w:val="28"/>
                  <w:u w:val="single"/>
                </w:rPr>
                <w:t> статтею 290</w:t>
              </w:r>
            </w:hyperlink>
            <w:r>
              <w:rPr>
                <w:rFonts w:eastAsia="Times New Roman" w:cs="Times New Roman"/>
                <w:color w:val="000000"/>
                <w:sz w:val="28"/>
                <w:szCs w:val="28"/>
              </w:rPr>
              <w:t> Цивільного процесуального кодексу України випадках, необґрунтованими та їх стягнення в дохід держави</w:t>
            </w: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;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eastAsia="Times New Roman" w:cs="Times New Roman"/>
                <w:b/>
                <w:color w:val="000000"/>
                <w:sz w:val="28"/>
                <w:szCs w:val="28"/>
                <w:highlight w:val="white"/>
              </w:rPr>
            </w:pPr>
            <w:bookmarkStart w:id="1" w:name="_heading=h.30j0zll" w:colFirst="0" w:colLast="0"/>
            <w:bookmarkEnd w:id="1"/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lastRenderedPageBreak/>
              <w:t>14) набрання законної сили рішенням суду про притягнення його до адміністративної відповідальності за адміністративне правопорушення, передбачене статтею</w:t>
            </w: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 xml:space="preserve"> 188-11 КУпАП (невиконання постанов, розпоряджень, приписів, висновків посадових осіб органів державної санітарно-епідеміологічної служби).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…</w:t>
            </w:r>
          </w:p>
        </w:tc>
      </w:tr>
      <w:tr w:rsidR="00633230">
        <w:trPr>
          <w:gridAfter w:val="1"/>
          <w:wAfter w:w="7299" w:type="dxa"/>
          <w:trHeight w:val="20"/>
        </w:trPr>
        <w:tc>
          <w:tcPr>
            <w:tcW w:w="14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center"/>
              <w:rPr>
                <w:rFonts w:eastAsia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color w:val="000000"/>
                <w:sz w:val="28"/>
                <w:szCs w:val="28"/>
                <w:highlight w:val="white"/>
              </w:rPr>
              <w:lastRenderedPageBreak/>
              <w:t>Закон України «Про прокуратуру»</w:t>
            </w:r>
          </w:p>
        </w:tc>
      </w:tr>
      <w:tr w:rsidR="00633230">
        <w:trPr>
          <w:gridAfter w:val="1"/>
          <w:wAfter w:w="7299" w:type="dxa"/>
          <w:trHeight w:val="20"/>
        </w:trPr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Стаття 27.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 Вимоги до кандидатів на посаду прокурора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…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6. Не може бути призначена на посаду прокурора особа, яка: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1) визнана судом обмежено дієздатною або недієздатною;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2) має захворювання, що перешкоджає виконанню обов’язків прокурора;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3) має незняту чи непогашену судимість або на яку накладалося адміністративне стягнення за вчинення </w:t>
            </w: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корупційного правопорушення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.</w:t>
            </w:r>
          </w:p>
          <w:p w:rsidR="00633230" w:rsidRDefault="006332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right="101" w:firstLine="450"/>
              <w:jc w:val="both"/>
              <w:rPr>
                <w:rFonts w:eastAsia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Стаття 27.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 Вимоги до кандидатів на посаду прокурора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…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6. Не може бути призначена на посаду прокурора особа, яка: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1) визнана судом обмежено дієздатною або недієздатною;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2) має захворювання, що перешкоджає виконанню обов’язків прокурора;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firstLine="360"/>
              <w:jc w:val="both"/>
              <w:rPr>
                <w:rFonts w:eastAsia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3) має незняту чи непогашену судимість або на яку накладалося адміністративне стягнення за вчинення </w:t>
            </w: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правопорушення, пов’язаного з кор</w:t>
            </w: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упцією.</w:t>
            </w:r>
          </w:p>
        </w:tc>
      </w:tr>
      <w:tr w:rsidR="00633230">
        <w:trPr>
          <w:gridAfter w:val="1"/>
          <w:wAfter w:w="7299" w:type="dxa"/>
          <w:trHeight w:val="20"/>
        </w:trPr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right="101"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Стаття 51.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 Загальні умови звільнення прокурора з посади, припинення його повноважень на посаді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right="101"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1. Прокурор звільняється з посади у разі: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right="101"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lastRenderedPageBreak/>
              <w:t>1) неможливості виконувати свої повноваження за станом здоров’я;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right="101"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2) порушення ним вимог щодо несумісності, передбачених </w:t>
            </w:r>
            <w:hyperlink r:id="rId9" w:anchor="n171">
              <w:r>
                <w:rPr>
                  <w:rFonts w:eastAsia="Times New Roman" w:cs="Times New Roman"/>
                  <w:color w:val="0000FF"/>
                  <w:sz w:val="28"/>
                  <w:szCs w:val="28"/>
                  <w:u w:val="single"/>
                </w:rPr>
                <w:t>статтею 18</w:t>
              </w:r>
            </w:hyperlink>
            <w:r>
              <w:rPr>
                <w:rFonts w:eastAsia="Times New Roman" w:cs="Times New Roman"/>
                <w:color w:val="000000"/>
                <w:sz w:val="28"/>
                <w:szCs w:val="28"/>
              </w:rPr>
              <w:t> цього Закону;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right="101"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3) набрання законної сили судовим рішенням про притягнення прокурора до адміністративної відповід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альності за </w:t>
            </w: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корупційне правопорушення, пов’язане з порушенням обмежень, передбачених </w:t>
            </w:r>
            <w:hyperlink r:id="rId10">
              <w:r>
                <w:rPr>
                  <w:rFonts w:eastAsia="Times New Roman" w:cs="Times New Roman"/>
                  <w:b/>
                  <w:color w:val="0000FF"/>
                  <w:sz w:val="28"/>
                  <w:szCs w:val="28"/>
                  <w:u w:val="single"/>
                </w:rPr>
                <w:t>Законом України</w:t>
              </w:r>
            </w:hyperlink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 "Про запобігання корупції"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;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right="101" w:firstLine="360"/>
              <w:jc w:val="both"/>
              <w:rPr>
                <w:rFonts w:eastAsia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…</w:t>
            </w: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left="72" w:firstLine="288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lastRenderedPageBreak/>
              <w:t>Стаття 51.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 Загальні умови звільнення прокурора з посади, припинення його повноважень на посаді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left="72" w:firstLine="288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1. Прокурор звільняється з посади у разі: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left="72" w:firstLine="288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lastRenderedPageBreak/>
              <w:t>1) неможливості виконувати свої повноваження за станом здоров’я;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left="72" w:firstLine="288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2) порушення ним вимог щодо несумісності, передбачених </w:t>
            </w:r>
            <w:hyperlink r:id="rId11" w:anchor="n171">
              <w:r>
                <w:rPr>
                  <w:rFonts w:eastAsia="Times New Roman" w:cs="Times New Roman"/>
                  <w:color w:val="0000FF"/>
                  <w:sz w:val="28"/>
                  <w:szCs w:val="28"/>
                  <w:u w:val="single"/>
                </w:rPr>
                <w:t>статтею 18</w:t>
              </w:r>
            </w:hyperlink>
            <w:r>
              <w:rPr>
                <w:rFonts w:eastAsia="Times New Roman" w:cs="Times New Roman"/>
                <w:color w:val="000000"/>
                <w:sz w:val="28"/>
                <w:szCs w:val="28"/>
              </w:rPr>
              <w:t> цього Закону;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left="72" w:firstLine="288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3) набрання законної сили судовим рішенням про притягнення прокурора до адміністративної відповідальності за </w:t>
            </w: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вчинення правопорушення, пов’язаного з корупцією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;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left="72" w:firstLine="288"/>
              <w:jc w:val="both"/>
              <w:rPr>
                <w:rFonts w:eastAsia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…</w:t>
            </w:r>
          </w:p>
        </w:tc>
      </w:tr>
      <w:tr w:rsidR="00633230">
        <w:trPr>
          <w:gridAfter w:val="1"/>
          <w:wAfter w:w="7299" w:type="dxa"/>
          <w:trHeight w:val="20"/>
        </w:trPr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right="101"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lastRenderedPageBreak/>
              <w:t>Стаття 54.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 Звільнення прокурора в разі набрання законної сили судовим рішенням про притягнення прокурора до адміністративної відповідальності за </w:t>
            </w: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корупційне правопорушення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right="101"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1. Суд, що ухвалив судове рішення, яким визнав прокурора винним у вчиненні </w:t>
            </w: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адміністративного корупційного правопорушення, пов’язаного з порушенням обмежень, передбачених </w:t>
            </w:r>
            <w:hyperlink r:id="rId12">
              <w:r>
                <w:rPr>
                  <w:rFonts w:eastAsia="Times New Roman" w:cs="Times New Roman"/>
                  <w:b/>
                  <w:color w:val="0000FF"/>
                  <w:sz w:val="28"/>
                  <w:szCs w:val="28"/>
                  <w:u w:val="single"/>
                </w:rPr>
                <w:t>Законом України</w:t>
              </w:r>
            </w:hyperlink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 "Про запобігання корупції"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, після набрання таким рішенням законної сили повідомляє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 про це особу, уповноважену цим Законом приймати рішення про звільнення прокурора, яка звільняє такого прокурора з посади у триденний строк з дня отримання копії відповідного судового рішення, що набрало законної сили.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right="101"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2. Суд, що ухвалив судове рішення, як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им визнав Генерального прокурора винним у вчиненні </w:t>
            </w: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 xml:space="preserve">адміністративного корупційного правопорушення, </w:t>
            </w: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lastRenderedPageBreak/>
              <w:t>пов’язаного з порушенням обмежень, передбачених </w:t>
            </w:r>
            <w:hyperlink r:id="rId13">
              <w:r>
                <w:rPr>
                  <w:rFonts w:eastAsia="Times New Roman" w:cs="Times New Roman"/>
                  <w:b/>
                  <w:color w:val="0000FF"/>
                  <w:sz w:val="28"/>
                  <w:szCs w:val="28"/>
                  <w:u w:val="single"/>
                </w:rPr>
                <w:t>Законом України</w:t>
              </w:r>
            </w:hyperlink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 "Про запобігання корупції"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, піс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ля набрання таким рішенням законної сили повідомляє про це відповідний орган, що здійснює дисциплінарне провадження щодо прокурорів, який вносить подання про звільнення Генерального прокурора з посади Президенту України.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right="101"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3. Прокурор, щодо якого набрало зак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онної сили судове рішення, яким його визнано винним у вчиненні </w:t>
            </w: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адміністративного корупційного правопорушення, пов’язаного з порушенням обмежень, передбачених </w:t>
            </w:r>
            <w:hyperlink r:id="rId14">
              <w:r>
                <w:rPr>
                  <w:rFonts w:eastAsia="Times New Roman" w:cs="Times New Roman"/>
                  <w:b/>
                  <w:color w:val="0000FF"/>
                  <w:sz w:val="28"/>
                  <w:szCs w:val="28"/>
                  <w:u w:val="single"/>
                </w:rPr>
                <w:t>Законом України</w:t>
              </w:r>
            </w:hyperlink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 "Про запобігання ко</w:t>
            </w: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рупції"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, не може продовжувати здійснювати свої повноваження.</w:t>
            </w:r>
          </w:p>
          <w:p w:rsidR="00633230" w:rsidRDefault="006332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right="101" w:firstLine="360"/>
              <w:jc w:val="both"/>
              <w:rPr>
                <w:rFonts w:eastAsia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left="72"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lastRenderedPageBreak/>
              <w:t>Стаття 54.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 Звільнення прокурора в разі набрання законної сили судовим рішенням про притягнення прокурора до адміністративної відповідальності за </w:t>
            </w: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вчинення правопорушення, пов’язаного з корупцією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left="72"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1. Суд, що ухвалив судове рішення, яким визнав прокурора винним у вчиненні </w:t>
            </w: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правопорушення, пов’язаного з корупцією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, після набрання таким рішенням законної сили повідомляє про це особу, уповноважену цим Законом приймати рішення про звільнення прокурора, яка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 звільняє такого прокурора з посади у триденний строк з дня отримання копії відповідного судового рішення, що набрало законної сили.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left="72"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2. Суд, що ухвалив судове рішення, яким визнав Генерального прокурора винним у вчиненні </w:t>
            </w: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правопорушення, пов’язаного з коруп</w:t>
            </w: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цією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, після набрання таким рішенням законної сили повідомляє про це відповідний орган, що здійснює дисциплінарне 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lastRenderedPageBreak/>
              <w:t>провадження щодо прокурорів, який вносить подання про звільнення Генерального прокурора з посади Президенту України.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left="72"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3. Прокурор, щодо якого на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брало законної сили судове рішення, яким його визнано винним у вчиненні </w:t>
            </w: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правопорушення, пов’язаного з корупцією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, не може продовжувати здійснювати свої повноваження.</w:t>
            </w:r>
          </w:p>
          <w:p w:rsidR="00633230" w:rsidRDefault="006332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left="72" w:firstLine="288"/>
              <w:jc w:val="both"/>
              <w:rPr>
                <w:rFonts w:eastAsia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633230">
        <w:trPr>
          <w:trHeight w:val="20"/>
        </w:trPr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lastRenderedPageBreak/>
              <w:t>Стаття 64.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 Зупинення повноважень прокурора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1. Повноваження прокурора зупиняються в разі: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…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firstLine="360"/>
              <w:jc w:val="both"/>
              <w:rPr>
                <w:rFonts w:eastAsia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4) відсторонення від виконання службових повноважень у порядку, передбаченому </w:t>
            </w:r>
            <w:hyperlink r:id="rId15">
              <w:r>
                <w:rPr>
                  <w:rFonts w:eastAsia="Times New Roman" w:cs="Times New Roman"/>
                  <w:color w:val="0000FF"/>
                  <w:sz w:val="28"/>
                  <w:szCs w:val="28"/>
                  <w:u w:val="single"/>
                </w:rPr>
                <w:t>Законом України</w:t>
              </w:r>
            </w:hyperlink>
            <w:r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 "Про запобігання корупції", - до закінчення розгляду судом справи про </w:t>
            </w: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 xml:space="preserve">адміністративне корупційне </w:t>
            </w: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правопорушення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;</w:t>
            </w: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Стаття 64.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 Зупинення повноважень прокурора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1. Повноваження прокурора зупиняються в разі: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…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4) відсторонення від виконання службових повноважень у порядку, передбаченому </w:t>
            </w:r>
            <w:hyperlink r:id="rId16">
              <w:r>
                <w:rPr>
                  <w:rFonts w:eastAsia="Times New Roman" w:cs="Times New Roman"/>
                  <w:color w:val="0000FF"/>
                  <w:sz w:val="28"/>
                  <w:szCs w:val="28"/>
                  <w:u w:val="single"/>
                </w:rPr>
                <w:t xml:space="preserve">Законом </w:t>
              </w:r>
              <w:r>
                <w:rPr>
                  <w:rFonts w:eastAsia="Times New Roman" w:cs="Times New Roman"/>
                  <w:color w:val="0000FF"/>
                  <w:sz w:val="28"/>
                  <w:szCs w:val="28"/>
                  <w:u w:val="single"/>
                </w:rPr>
                <w:t>України</w:t>
              </w:r>
            </w:hyperlink>
            <w:r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 "Про запобігання корупції", - до закінчення розгляду судом справи про </w:t>
            </w: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правопорушення, пов’язаного з корупцією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;</w:t>
            </w:r>
          </w:p>
          <w:p w:rsidR="00633230" w:rsidRDefault="006332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left="72" w:firstLine="360"/>
              <w:jc w:val="both"/>
              <w:rPr>
                <w:rFonts w:eastAsia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7299" w:type="dxa"/>
          </w:tcPr>
          <w:p w:rsidR="00633230" w:rsidRDefault="006332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firstLine="360"/>
              <w:jc w:val="both"/>
              <w:rPr>
                <w:rFonts w:eastAsia="Times New Roman" w:cs="Times New Roman"/>
                <w:b/>
                <w:color w:val="000000"/>
                <w:sz w:val="28"/>
                <w:szCs w:val="28"/>
              </w:rPr>
            </w:pPr>
          </w:p>
          <w:p w:rsidR="00633230" w:rsidRDefault="006332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firstLine="360"/>
              <w:jc w:val="both"/>
              <w:rPr>
                <w:rFonts w:eastAsia="Times New Roman" w:cs="Times New Roman"/>
                <w:b/>
                <w:color w:val="000000"/>
                <w:sz w:val="28"/>
                <w:szCs w:val="28"/>
              </w:rPr>
            </w:pPr>
          </w:p>
          <w:p w:rsidR="00633230" w:rsidRDefault="006332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firstLine="360"/>
              <w:jc w:val="both"/>
              <w:rPr>
                <w:rFonts w:eastAsia="Times New Roman" w:cs="Times New Roman"/>
                <w:b/>
                <w:color w:val="000000"/>
                <w:sz w:val="28"/>
                <w:szCs w:val="28"/>
              </w:rPr>
            </w:pPr>
          </w:p>
          <w:p w:rsidR="00633230" w:rsidRDefault="006332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firstLine="360"/>
              <w:jc w:val="both"/>
              <w:rPr>
                <w:rFonts w:eastAsia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633230">
        <w:trPr>
          <w:gridAfter w:val="1"/>
          <w:wAfter w:w="7299" w:type="dxa"/>
          <w:trHeight w:val="20"/>
        </w:trPr>
        <w:tc>
          <w:tcPr>
            <w:tcW w:w="14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center"/>
              <w:rPr>
                <w:rFonts w:eastAsia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Закон України «Про Державне бюро розслідувань України»</w:t>
            </w:r>
          </w:p>
        </w:tc>
      </w:tr>
      <w:tr w:rsidR="00633230">
        <w:trPr>
          <w:gridAfter w:val="1"/>
          <w:wAfter w:w="7299" w:type="dxa"/>
          <w:trHeight w:val="20"/>
        </w:trPr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right="101" w:firstLine="450"/>
              <w:jc w:val="both"/>
              <w:rPr>
                <w:rFonts w:eastAsia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eastAsia="Times New Roman" w:cs="Times New Roman"/>
                <w:b/>
                <w:color w:val="000000"/>
                <w:sz w:val="28"/>
                <w:szCs w:val="28"/>
                <w:highlight w:val="white"/>
              </w:rPr>
              <w:t>Стаття 11.</w:t>
            </w:r>
            <w:r>
              <w:rPr>
                <w:rFonts w:eastAsia="Times New Roman" w:cs="Times New Roman"/>
                <w:color w:val="000000"/>
                <w:sz w:val="28"/>
                <w:szCs w:val="28"/>
                <w:highlight w:val="white"/>
              </w:rPr>
              <w:t> Порядок призначення Директора Державного бюро розслідувань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right="101" w:firstLine="450"/>
              <w:jc w:val="both"/>
              <w:rPr>
                <w:rFonts w:eastAsia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highlight w:val="white"/>
              </w:rPr>
              <w:lastRenderedPageBreak/>
              <w:t>…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Членами Конкурсної комісії можуть бути особи, які мають бездоганну ділову репутацію, вищу юридичну освіту, високі професійні і моральні якості, суспільний авторитет. Не може бути членом Конкурсної комісії особа, якщо вона: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1) за рішенням суду визнана недіє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здатною або обмежена у цивільній дієздатності;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2) має судимість за вчинення злочину, не погашену або не зняту в установленому законом порядку (крім реабілітованої особи), або на яку протягом останнього року накладалося адміністративне стягнення за вчинення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корупційного правопорушення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, або яка притягалася судом до відповідальності за вчинення умисного злочину;</w:t>
            </w:r>
          </w:p>
          <w:p w:rsidR="00633230" w:rsidRDefault="006332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right="101" w:firstLine="450"/>
              <w:jc w:val="both"/>
              <w:rPr>
                <w:rFonts w:eastAsia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right="101" w:firstLine="450"/>
              <w:jc w:val="both"/>
              <w:rPr>
                <w:rFonts w:eastAsia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eastAsia="Times New Roman" w:cs="Times New Roman"/>
                <w:b/>
                <w:color w:val="000000"/>
                <w:sz w:val="28"/>
                <w:szCs w:val="28"/>
                <w:highlight w:val="white"/>
              </w:rPr>
              <w:lastRenderedPageBreak/>
              <w:t>Стаття 11.</w:t>
            </w:r>
            <w:r>
              <w:rPr>
                <w:rFonts w:eastAsia="Times New Roman" w:cs="Times New Roman"/>
                <w:color w:val="000000"/>
                <w:sz w:val="28"/>
                <w:szCs w:val="28"/>
                <w:highlight w:val="white"/>
              </w:rPr>
              <w:t> Порядок призначення Директора Державного бюро розслідувань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right="101" w:firstLine="450"/>
              <w:jc w:val="both"/>
              <w:rPr>
                <w:rFonts w:eastAsia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highlight w:val="white"/>
              </w:rPr>
              <w:lastRenderedPageBreak/>
              <w:t>…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Членами Конкурсної комісії можуть бути особи, які мають бездоганну ділову реп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утацію, вищу юридичну освіту, високі професійні і моральні якості, суспільний авторитет. Не може бути членом Конкурсної комісії особа, якщо вона: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firstLine="36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1) за рішенням суду визнана недієздатною або обмежена у цивільній дієздатності;</w:t>
            </w:r>
          </w:p>
          <w:p w:rsidR="00633230" w:rsidRDefault="00E35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firstLine="360"/>
              <w:jc w:val="both"/>
              <w:rPr>
                <w:rFonts w:eastAsia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2) має судимість за вчинення з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лочину, не погашену або не зняту в установленому законом порядку (крім реабілітованої особи), або на яку протягом останнього року накладалося адміністративне стягнення за вчинення </w:t>
            </w: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правопорушення, пов’язаного з корупцією,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 або яка притягалася судом до відпов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ідальності за вчинення умисного злочину;</w:t>
            </w:r>
          </w:p>
        </w:tc>
      </w:tr>
    </w:tbl>
    <w:p w:rsidR="00633230" w:rsidRDefault="0063323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284"/>
        <w:jc w:val="both"/>
        <w:rPr>
          <w:rFonts w:eastAsia="Times New Roman" w:cs="Times New Roman"/>
          <w:color w:val="000000"/>
          <w:sz w:val="28"/>
          <w:szCs w:val="28"/>
        </w:rPr>
      </w:pPr>
    </w:p>
    <w:p w:rsidR="00633230" w:rsidRDefault="0063323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284"/>
        <w:jc w:val="both"/>
        <w:rPr>
          <w:rFonts w:eastAsia="Times New Roman" w:cs="Times New Roman"/>
          <w:color w:val="000000"/>
          <w:sz w:val="28"/>
          <w:szCs w:val="28"/>
        </w:rPr>
      </w:pPr>
    </w:p>
    <w:p w:rsidR="00633230" w:rsidRDefault="00E35378">
      <w:pPr>
        <w:rPr>
          <w:b/>
          <w:sz w:val="28"/>
          <w:szCs w:val="28"/>
        </w:rPr>
      </w:pPr>
      <w:r>
        <w:rPr>
          <w:b/>
          <w:sz w:val="28"/>
          <w:szCs w:val="28"/>
        </w:rPr>
        <w:t>Народні депутати України</w:t>
      </w:r>
    </w:p>
    <w:p w:rsidR="00E35378" w:rsidRDefault="00E35378">
      <w:pPr>
        <w:rPr>
          <w:b/>
          <w:sz w:val="28"/>
          <w:szCs w:val="28"/>
        </w:rPr>
      </w:pPr>
      <w:proofErr w:type="spellStart"/>
      <w:r w:rsidRPr="00E35378">
        <w:rPr>
          <w:b/>
          <w:sz w:val="28"/>
          <w:szCs w:val="28"/>
        </w:rPr>
        <w:t>Стефанишина</w:t>
      </w:r>
      <w:proofErr w:type="spellEnd"/>
      <w:r w:rsidRPr="00E35378">
        <w:rPr>
          <w:b/>
          <w:sz w:val="28"/>
          <w:szCs w:val="28"/>
        </w:rPr>
        <w:t xml:space="preserve"> О.А.</w:t>
      </w:r>
      <w:bookmarkStart w:id="2" w:name="_GoBack"/>
      <w:bookmarkEnd w:id="2"/>
    </w:p>
    <w:p w:rsidR="00633230" w:rsidRDefault="00633230">
      <w:pPr>
        <w:jc w:val="center"/>
        <w:rPr>
          <w:b/>
          <w:sz w:val="28"/>
          <w:szCs w:val="28"/>
        </w:rPr>
      </w:pPr>
    </w:p>
    <w:p w:rsidR="00633230" w:rsidRDefault="00633230">
      <w:pPr>
        <w:jc w:val="center"/>
      </w:pPr>
    </w:p>
    <w:sectPr w:rsidR="00633230">
      <w:pgSz w:w="16838" w:h="11906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230"/>
    <w:rsid w:val="00633230"/>
    <w:rsid w:val="00E35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1D6594-928E-41DB-9B5B-C60085449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6"/>
        <w:szCs w:val="26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680B"/>
    <w:rPr>
      <w:rFonts w:eastAsia="Calibri" w:cs="Arial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rvps6">
    <w:name w:val="rvps6"/>
    <w:basedOn w:val="a"/>
    <w:rsid w:val="00B2375A"/>
    <w:pPr>
      <w:spacing w:before="100" w:beforeAutospacing="1" w:after="100" w:afterAutospacing="1"/>
    </w:pPr>
    <w:rPr>
      <w:rFonts w:eastAsia="Times New Roman" w:cs="Times New Roman"/>
      <w:sz w:val="24"/>
    </w:rPr>
  </w:style>
  <w:style w:type="character" w:customStyle="1" w:styleId="rvts23">
    <w:name w:val="rvts23"/>
    <w:basedOn w:val="a0"/>
    <w:rsid w:val="00B2375A"/>
  </w:style>
  <w:style w:type="table" w:styleId="a4">
    <w:name w:val="Table Grid"/>
    <w:basedOn w:val="a1"/>
    <w:uiPriority w:val="39"/>
    <w:rsid w:val="00B237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CF271F"/>
    <w:pPr>
      <w:spacing w:before="100" w:beforeAutospacing="1" w:after="100" w:afterAutospacing="1"/>
    </w:pPr>
    <w:rPr>
      <w:rFonts w:eastAsia="Times New Roman" w:cs="Times New Roman"/>
      <w:sz w:val="24"/>
    </w:rPr>
  </w:style>
  <w:style w:type="character" w:customStyle="1" w:styleId="rvts9">
    <w:name w:val="rvts9"/>
    <w:basedOn w:val="a0"/>
    <w:rsid w:val="00CF271F"/>
  </w:style>
  <w:style w:type="character" w:styleId="a5">
    <w:name w:val="Hyperlink"/>
    <w:basedOn w:val="a0"/>
    <w:uiPriority w:val="99"/>
    <w:unhideWhenUsed/>
    <w:rsid w:val="00CF271F"/>
    <w:rPr>
      <w:color w:val="0000FF"/>
      <w:u w:val="single"/>
    </w:rPr>
  </w:style>
  <w:style w:type="paragraph" w:customStyle="1" w:styleId="a6">
    <w:name w:val="Содержимое таблицы"/>
    <w:basedOn w:val="a"/>
    <w:uiPriority w:val="99"/>
    <w:rsid w:val="00482E6D"/>
    <w:pPr>
      <w:widowControl w:val="0"/>
      <w:suppressLineNumbers/>
      <w:suppressAutoHyphens/>
    </w:pPr>
    <w:rPr>
      <w:rFonts w:ascii="Liberation Serif" w:eastAsia="WenQuanYi Micro Hei" w:hAnsi="Liberation Serif" w:cs="Lohit Hindi"/>
      <w:noProof/>
      <w:kern w:val="1"/>
      <w:sz w:val="24"/>
      <w:lang w:val="ru-RU" w:eastAsia="hi-IN" w:bidi="hi-IN"/>
    </w:rPr>
  </w:style>
  <w:style w:type="paragraph" w:styleId="a7">
    <w:name w:val="header"/>
    <w:basedOn w:val="a"/>
    <w:link w:val="a8"/>
    <w:uiPriority w:val="99"/>
    <w:unhideWhenUsed/>
    <w:rsid w:val="00464F1D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464F1D"/>
    <w:rPr>
      <w:rFonts w:ascii="Times New Roman" w:eastAsia="Calibri" w:hAnsi="Times New Roman" w:cs="Arial"/>
      <w:sz w:val="26"/>
      <w:szCs w:val="24"/>
    </w:rPr>
  </w:style>
  <w:style w:type="paragraph" w:styleId="a9">
    <w:name w:val="footer"/>
    <w:basedOn w:val="a"/>
    <w:link w:val="aa"/>
    <w:uiPriority w:val="99"/>
    <w:unhideWhenUsed/>
    <w:rsid w:val="00464F1D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464F1D"/>
    <w:rPr>
      <w:rFonts w:ascii="Times New Roman" w:eastAsia="Calibri" w:hAnsi="Times New Roman" w:cs="Arial"/>
      <w:sz w:val="26"/>
      <w:szCs w:val="24"/>
    </w:rPr>
  </w:style>
  <w:style w:type="paragraph" w:styleId="ab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c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618-15" TargetMode="External"/><Relationship Id="rId13" Type="http://schemas.openxmlformats.org/officeDocument/2006/relationships/hyperlink" Target="https://zakon.rada.gov.ua/laws/show/1700-18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1618-15" TargetMode="External"/><Relationship Id="rId12" Type="http://schemas.openxmlformats.org/officeDocument/2006/relationships/hyperlink" Target="https://zakon.rada.gov.ua/laws/show/1700-18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zakon.rada.gov.ua/laws/show/1700-18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zakon.rada.gov.ua/laws/show/1698-18" TargetMode="External"/><Relationship Id="rId11" Type="http://schemas.openxmlformats.org/officeDocument/2006/relationships/hyperlink" Target="https://zakon.rada.gov.ua/laws/show/1697-18/print" TargetMode="External"/><Relationship Id="rId5" Type="http://schemas.openxmlformats.org/officeDocument/2006/relationships/hyperlink" Target="https://zakon.rada.gov.ua/laws/show/3206-17" TargetMode="External"/><Relationship Id="rId15" Type="http://schemas.openxmlformats.org/officeDocument/2006/relationships/hyperlink" Target="https://zakon.rada.gov.ua/laws/show/1700-18" TargetMode="External"/><Relationship Id="rId10" Type="http://schemas.openxmlformats.org/officeDocument/2006/relationships/hyperlink" Target="https://zakon.rada.gov.ua/laws/show/1700-1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1697-18/print" TargetMode="External"/><Relationship Id="rId14" Type="http://schemas.openxmlformats.org/officeDocument/2006/relationships/hyperlink" Target="https://zakon.rada.gov.ua/laws/show/1700-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Um/wu82l+2Pw5pHkme4Wk6NwYSg==">AMUW2mUTFDRbeIdVzWUYk4tL7LS+y+AO2dbkXMNUgVgrH55kfKyz4gIxAk6dWwg0qxePG9nfWOl6RJyO3I+l3WisDGrdhCUXboPX1Eh763QknEqMX6we00S4Nt47hj0MS/wSRmzMvNePQpSJziVkxqf5F04B4MTNgQ==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7382</Words>
  <Characters>4209</Characters>
  <Application>Microsoft Office Word</Application>
  <DocSecurity>0</DocSecurity>
  <Lines>35</Lines>
  <Paragraphs>23</Paragraphs>
  <ScaleCrop>false</ScaleCrop>
  <Company/>
  <LinksUpToDate>false</LinksUpToDate>
  <CharactersWithSpaces>11568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Liliya Makhynko</dc:creator>
  <cp:lastModifiedBy>Устінова Олександра Юріївна</cp:lastModifiedBy>
  <cp:revision>2</cp:revision>
  <dcterms:created xsi:type="dcterms:W3CDTF">2020-03-10T13:55:00Z</dcterms:created>
  <dcterms:modified xsi:type="dcterms:W3CDTF">2020-03-13T09:54:00Z</dcterms:modified>
</cp:coreProperties>
</file>