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109" w:rsidRPr="007A0989" w:rsidRDefault="00097109" w:rsidP="007A0989">
      <w:pPr>
        <w:keepNext/>
        <w:keepLines/>
        <w:widowControl w:val="0"/>
        <w:autoSpaceDE w:val="0"/>
        <w:autoSpaceDN w:val="0"/>
        <w:adjustRightInd w:val="0"/>
        <w:spacing w:after="0" w:line="360" w:lineRule="auto"/>
        <w:ind w:firstLine="680"/>
        <w:jc w:val="right"/>
        <w:rPr>
          <w:rFonts w:ascii="Times New Roman" w:hAnsi="Times New Roman"/>
          <w:sz w:val="28"/>
          <w:szCs w:val="28"/>
        </w:rPr>
      </w:pPr>
      <w:bookmarkStart w:id="0" w:name="_GoBack"/>
      <w:bookmarkEnd w:id="0"/>
      <w:r w:rsidRPr="007A0989">
        <w:rPr>
          <w:rFonts w:ascii="Times New Roman" w:hAnsi="Times New Roman"/>
          <w:sz w:val="28"/>
          <w:szCs w:val="28"/>
        </w:rPr>
        <w:t>ПРОЕКТ</w:t>
      </w:r>
    </w:p>
    <w:p w:rsidR="00097109" w:rsidRPr="007A0989" w:rsidRDefault="00097109" w:rsidP="007A0989">
      <w:pPr>
        <w:keepNext/>
        <w:keepLines/>
        <w:widowControl w:val="0"/>
        <w:autoSpaceDE w:val="0"/>
        <w:autoSpaceDN w:val="0"/>
        <w:adjustRightInd w:val="0"/>
        <w:spacing w:after="0" w:line="360" w:lineRule="auto"/>
        <w:ind w:firstLine="680"/>
        <w:jc w:val="right"/>
        <w:rPr>
          <w:rFonts w:ascii="Times New Roman" w:hAnsi="Times New Roman"/>
          <w:sz w:val="28"/>
          <w:szCs w:val="28"/>
        </w:rPr>
      </w:pPr>
      <w:r w:rsidRPr="007A0989">
        <w:rPr>
          <w:rFonts w:ascii="Times New Roman" w:hAnsi="Times New Roman"/>
          <w:sz w:val="28"/>
          <w:szCs w:val="28"/>
        </w:rPr>
        <w:t>вноситься народними депутатами України</w:t>
      </w:r>
      <w:r w:rsidR="006F54F8">
        <w:rPr>
          <w:rFonts w:ascii="Times New Roman" w:hAnsi="Times New Roman"/>
          <w:sz w:val="28"/>
          <w:szCs w:val="28"/>
        </w:rPr>
        <w:t>:</w:t>
      </w:r>
    </w:p>
    <w:p w:rsidR="002277D6" w:rsidRDefault="002277D6" w:rsidP="002277D6">
      <w:pPr>
        <w:keepNext/>
        <w:keepLines/>
        <w:widowControl w:val="0"/>
        <w:autoSpaceDE w:val="0"/>
        <w:autoSpaceDN w:val="0"/>
        <w:adjustRightInd w:val="0"/>
        <w:spacing w:after="0" w:line="360" w:lineRule="auto"/>
        <w:ind w:firstLine="7230"/>
        <w:jc w:val="both"/>
        <w:rPr>
          <w:rFonts w:ascii="Times New Roman" w:hAnsi="Times New Roman"/>
          <w:b/>
          <w:bCs/>
          <w:sz w:val="28"/>
          <w:szCs w:val="28"/>
        </w:rPr>
      </w:pPr>
      <w:r w:rsidRPr="002277D6">
        <w:rPr>
          <w:rFonts w:ascii="Times New Roman" w:hAnsi="Times New Roman"/>
          <w:b/>
          <w:bCs/>
          <w:sz w:val="28"/>
          <w:szCs w:val="28"/>
        </w:rPr>
        <w:t>Тарасов</w:t>
      </w:r>
      <w:r>
        <w:rPr>
          <w:rFonts w:ascii="Times New Roman" w:hAnsi="Times New Roman"/>
          <w:b/>
          <w:bCs/>
          <w:sz w:val="28"/>
          <w:szCs w:val="28"/>
        </w:rPr>
        <w:t>им</w:t>
      </w:r>
      <w:r w:rsidRPr="002277D6">
        <w:rPr>
          <w:rFonts w:ascii="Times New Roman" w:hAnsi="Times New Roman"/>
          <w:b/>
          <w:bCs/>
          <w:sz w:val="28"/>
          <w:szCs w:val="28"/>
        </w:rPr>
        <w:t xml:space="preserve"> О.С.</w:t>
      </w:r>
    </w:p>
    <w:p w:rsidR="002277D6" w:rsidRPr="002277D6" w:rsidRDefault="002277D6" w:rsidP="002277D6">
      <w:pPr>
        <w:keepNext/>
        <w:keepLines/>
        <w:widowControl w:val="0"/>
        <w:autoSpaceDE w:val="0"/>
        <w:autoSpaceDN w:val="0"/>
        <w:adjustRightInd w:val="0"/>
        <w:spacing w:after="0" w:line="360" w:lineRule="auto"/>
        <w:ind w:firstLine="7230"/>
        <w:jc w:val="both"/>
        <w:rPr>
          <w:rFonts w:ascii="Times New Roman" w:hAnsi="Times New Roman"/>
          <w:b/>
          <w:bCs/>
          <w:sz w:val="28"/>
          <w:szCs w:val="28"/>
        </w:rPr>
      </w:pPr>
      <w:r>
        <w:rPr>
          <w:rFonts w:ascii="Times New Roman" w:hAnsi="Times New Roman"/>
          <w:b/>
          <w:bCs/>
          <w:sz w:val="28"/>
          <w:szCs w:val="28"/>
        </w:rPr>
        <w:t>Соломчуком Д.В.</w:t>
      </w:r>
    </w:p>
    <w:p w:rsidR="002277D6" w:rsidRPr="002277D6" w:rsidRDefault="002277D6" w:rsidP="002277D6">
      <w:pPr>
        <w:keepNext/>
        <w:keepLines/>
        <w:widowControl w:val="0"/>
        <w:autoSpaceDE w:val="0"/>
        <w:autoSpaceDN w:val="0"/>
        <w:adjustRightInd w:val="0"/>
        <w:spacing w:after="0" w:line="360" w:lineRule="auto"/>
        <w:ind w:firstLine="7230"/>
        <w:jc w:val="both"/>
        <w:rPr>
          <w:rFonts w:ascii="Times New Roman" w:hAnsi="Times New Roman"/>
          <w:b/>
          <w:bCs/>
          <w:sz w:val="28"/>
          <w:szCs w:val="28"/>
        </w:rPr>
      </w:pPr>
      <w:r>
        <w:rPr>
          <w:rFonts w:ascii="Times New Roman" w:hAnsi="Times New Roman"/>
          <w:b/>
          <w:bCs/>
          <w:sz w:val="28"/>
          <w:szCs w:val="28"/>
        </w:rPr>
        <w:t>Чайківським</w:t>
      </w:r>
      <w:r w:rsidRPr="002277D6">
        <w:rPr>
          <w:rFonts w:ascii="Times New Roman" w:hAnsi="Times New Roman"/>
          <w:b/>
          <w:bCs/>
          <w:sz w:val="28"/>
          <w:szCs w:val="28"/>
        </w:rPr>
        <w:t xml:space="preserve"> І.А.</w:t>
      </w:r>
    </w:p>
    <w:p w:rsidR="00097109" w:rsidRPr="007A0989" w:rsidRDefault="00097109" w:rsidP="007A0989">
      <w:pPr>
        <w:keepNext/>
        <w:keepLines/>
        <w:widowControl w:val="0"/>
        <w:autoSpaceDE w:val="0"/>
        <w:autoSpaceDN w:val="0"/>
        <w:adjustRightInd w:val="0"/>
        <w:spacing w:after="0" w:line="360" w:lineRule="auto"/>
        <w:ind w:firstLine="680"/>
        <w:jc w:val="both"/>
        <w:rPr>
          <w:rFonts w:ascii="Times New Roman" w:hAnsi="Times New Roman"/>
          <w:sz w:val="28"/>
          <w:szCs w:val="28"/>
        </w:rPr>
      </w:pPr>
    </w:p>
    <w:p w:rsidR="00097109" w:rsidRPr="007A0989" w:rsidRDefault="00097109" w:rsidP="007A0989">
      <w:pPr>
        <w:spacing w:after="0" w:line="360" w:lineRule="auto"/>
        <w:ind w:left="7513" w:firstLine="680"/>
        <w:jc w:val="both"/>
        <w:rPr>
          <w:rFonts w:ascii="Times New Roman" w:hAnsi="Times New Roman"/>
          <w:sz w:val="28"/>
          <w:szCs w:val="28"/>
          <w:lang w:eastAsia="ru-RU"/>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6F54F8" w:rsidRDefault="006F54F8" w:rsidP="006F54F8">
      <w:pPr>
        <w:spacing w:after="0" w:line="360" w:lineRule="auto"/>
        <w:jc w:val="center"/>
        <w:rPr>
          <w:rFonts w:ascii="Times New Roman" w:hAnsi="Times New Roman"/>
          <w:b/>
          <w:sz w:val="28"/>
          <w:szCs w:val="28"/>
        </w:rPr>
      </w:pPr>
    </w:p>
    <w:p w:rsidR="00097109" w:rsidRPr="006F54F8" w:rsidRDefault="00097109" w:rsidP="006F54F8">
      <w:pPr>
        <w:spacing w:after="0" w:line="360" w:lineRule="auto"/>
        <w:jc w:val="center"/>
        <w:rPr>
          <w:rFonts w:ascii="Times New Roman" w:hAnsi="Times New Roman"/>
          <w:b/>
          <w:sz w:val="28"/>
          <w:szCs w:val="28"/>
        </w:rPr>
      </w:pPr>
      <w:r w:rsidRPr="006F54F8">
        <w:rPr>
          <w:rFonts w:ascii="Times New Roman" w:hAnsi="Times New Roman"/>
          <w:b/>
          <w:sz w:val="28"/>
          <w:szCs w:val="28"/>
        </w:rPr>
        <w:t>ЗАКОН УКРАЇНИ</w:t>
      </w:r>
    </w:p>
    <w:p w:rsidR="00C65CAD" w:rsidRDefault="00C65CAD" w:rsidP="006F54F8">
      <w:pPr>
        <w:spacing w:after="0" w:line="360" w:lineRule="auto"/>
        <w:jc w:val="center"/>
        <w:rPr>
          <w:rFonts w:ascii="Times New Roman" w:hAnsi="Times New Roman"/>
          <w:b/>
          <w:bCs/>
          <w:sz w:val="28"/>
          <w:szCs w:val="28"/>
          <w:lang w:eastAsia="ru-RU"/>
        </w:rPr>
      </w:pPr>
      <w:r w:rsidRPr="00C65CAD">
        <w:rPr>
          <w:rFonts w:ascii="Times New Roman" w:hAnsi="Times New Roman"/>
          <w:b/>
          <w:bCs/>
          <w:sz w:val="28"/>
          <w:szCs w:val="28"/>
          <w:lang w:eastAsia="ru-RU"/>
        </w:rPr>
        <w:t>Про 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w:t>
      </w:r>
    </w:p>
    <w:p w:rsidR="00C65CAD" w:rsidRDefault="00C65CAD" w:rsidP="007A0989">
      <w:pPr>
        <w:spacing w:after="0" w:line="360" w:lineRule="auto"/>
        <w:ind w:firstLine="680"/>
        <w:jc w:val="both"/>
        <w:rPr>
          <w:rFonts w:ascii="Times New Roman" w:hAnsi="Times New Roman"/>
          <w:sz w:val="28"/>
          <w:szCs w:val="28"/>
        </w:rPr>
      </w:pPr>
    </w:p>
    <w:p w:rsidR="00097109" w:rsidRPr="007A0989" w:rsidRDefault="00097109" w:rsidP="007A0989">
      <w:pPr>
        <w:spacing w:after="0" w:line="360" w:lineRule="auto"/>
        <w:ind w:firstLine="680"/>
        <w:jc w:val="both"/>
        <w:rPr>
          <w:rFonts w:ascii="Times New Roman" w:hAnsi="Times New Roman"/>
          <w:sz w:val="28"/>
          <w:szCs w:val="28"/>
        </w:rPr>
      </w:pPr>
      <w:r w:rsidRPr="007A0989">
        <w:rPr>
          <w:rFonts w:ascii="Times New Roman" w:hAnsi="Times New Roman"/>
          <w:sz w:val="28"/>
          <w:szCs w:val="28"/>
        </w:rPr>
        <w:t xml:space="preserve">Верховна Рада України </w:t>
      </w:r>
      <w:r w:rsidRPr="006F54F8">
        <w:rPr>
          <w:rFonts w:ascii="Times New Roman" w:hAnsi="Times New Roman"/>
          <w:b/>
          <w:spacing w:val="28"/>
          <w:sz w:val="28"/>
          <w:szCs w:val="28"/>
        </w:rPr>
        <w:t>постановляє:</w:t>
      </w:r>
    </w:p>
    <w:p w:rsidR="00097109" w:rsidRPr="007A0989" w:rsidRDefault="00097109" w:rsidP="007A0989">
      <w:pPr>
        <w:spacing w:after="0" w:line="360" w:lineRule="auto"/>
        <w:ind w:firstLine="680"/>
        <w:jc w:val="both"/>
        <w:rPr>
          <w:rFonts w:ascii="Times New Roman" w:hAnsi="Times New Roman"/>
          <w:color w:val="000000"/>
          <w:sz w:val="28"/>
          <w:szCs w:val="28"/>
          <w:lang w:eastAsia="uk-UA"/>
        </w:rPr>
      </w:pPr>
      <w:r w:rsidRPr="007A0989">
        <w:rPr>
          <w:rFonts w:ascii="Times New Roman" w:hAnsi="Times New Roman"/>
          <w:sz w:val="28"/>
          <w:szCs w:val="28"/>
        </w:rPr>
        <w:t xml:space="preserve">I. </w:t>
      </w:r>
      <w:r w:rsidR="00C35A50" w:rsidRPr="007A0989">
        <w:rPr>
          <w:rFonts w:ascii="Times New Roman" w:hAnsi="Times New Roman"/>
          <w:sz w:val="28"/>
          <w:szCs w:val="28"/>
        </w:rPr>
        <w:t xml:space="preserve">Внести до Податкового кодексу України </w:t>
      </w:r>
      <w:r w:rsidR="004B3E5A" w:rsidRPr="007A0989">
        <w:rPr>
          <w:rFonts w:ascii="Times New Roman" w:hAnsi="Times New Roman"/>
          <w:sz w:val="28"/>
          <w:szCs w:val="28"/>
        </w:rPr>
        <w:t>(</w:t>
      </w:r>
      <w:r w:rsidR="004B3E5A" w:rsidRPr="007A0989">
        <w:rPr>
          <w:rFonts w:ascii="Times New Roman" w:hAnsi="Times New Roman"/>
          <w:color w:val="000000"/>
          <w:sz w:val="28"/>
          <w:szCs w:val="28"/>
          <w:lang w:eastAsia="uk-UA"/>
        </w:rPr>
        <w:t>Відомості Верховної Ради України, 2011 р., №№ 13-17, ст. 112) такі зміни:</w:t>
      </w:r>
    </w:p>
    <w:p w:rsidR="00676329" w:rsidRDefault="0093449A" w:rsidP="007A0989">
      <w:pPr>
        <w:spacing w:after="0" w:line="360" w:lineRule="auto"/>
        <w:ind w:firstLine="680"/>
        <w:jc w:val="both"/>
        <w:rPr>
          <w:rFonts w:ascii="Times New Roman" w:hAnsi="Times New Roman"/>
          <w:bCs/>
          <w:sz w:val="28"/>
          <w:szCs w:val="28"/>
          <w:lang w:eastAsia="uk-UA"/>
        </w:rPr>
      </w:pPr>
      <w:r>
        <w:rPr>
          <w:rFonts w:ascii="Times New Roman" w:hAnsi="Times New Roman"/>
          <w:bCs/>
          <w:sz w:val="28"/>
          <w:szCs w:val="28"/>
          <w:lang w:eastAsia="uk-UA"/>
        </w:rPr>
        <w:t>1</w:t>
      </w:r>
      <w:r w:rsidR="007C263A" w:rsidRPr="007A0989">
        <w:rPr>
          <w:rFonts w:ascii="Times New Roman" w:hAnsi="Times New Roman"/>
          <w:bCs/>
          <w:sz w:val="28"/>
          <w:szCs w:val="28"/>
          <w:lang w:eastAsia="uk-UA"/>
        </w:rPr>
        <w:t xml:space="preserve">. </w:t>
      </w:r>
      <w:r w:rsidR="00676329">
        <w:rPr>
          <w:rFonts w:ascii="Times New Roman" w:hAnsi="Times New Roman"/>
          <w:bCs/>
          <w:sz w:val="28"/>
          <w:szCs w:val="28"/>
          <w:lang w:val="ru-RU" w:eastAsia="uk-UA"/>
        </w:rPr>
        <w:t xml:space="preserve">У </w:t>
      </w:r>
      <w:r w:rsidR="00244AD8">
        <w:rPr>
          <w:rFonts w:ascii="Times New Roman" w:hAnsi="Times New Roman"/>
          <w:bCs/>
          <w:sz w:val="28"/>
          <w:szCs w:val="28"/>
          <w:lang w:val="ru-RU" w:eastAsia="uk-UA"/>
        </w:rPr>
        <w:t>п</w:t>
      </w:r>
      <w:r w:rsidR="00244AD8" w:rsidRPr="007A0989">
        <w:rPr>
          <w:rFonts w:ascii="Times New Roman" w:hAnsi="Times New Roman"/>
          <w:bCs/>
          <w:sz w:val="28"/>
          <w:szCs w:val="28"/>
          <w:lang w:eastAsia="uk-UA"/>
        </w:rPr>
        <w:t>у</w:t>
      </w:r>
      <w:r w:rsidR="00244AD8">
        <w:rPr>
          <w:rFonts w:ascii="Times New Roman" w:hAnsi="Times New Roman"/>
          <w:bCs/>
          <w:sz w:val="28"/>
          <w:szCs w:val="28"/>
          <w:lang w:eastAsia="uk-UA"/>
        </w:rPr>
        <w:t>нкті</w:t>
      </w:r>
      <w:r w:rsidR="00244AD8" w:rsidRPr="007A0989">
        <w:rPr>
          <w:rFonts w:ascii="Times New Roman" w:hAnsi="Times New Roman"/>
          <w:bCs/>
          <w:sz w:val="28"/>
          <w:szCs w:val="28"/>
          <w:lang w:eastAsia="uk-UA"/>
        </w:rPr>
        <w:t xml:space="preserve"> 14.1. </w:t>
      </w:r>
      <w:r w:rsidR="00676329">
        <w:rPr>
          <w:rFonts w:ascii="Times New Roman" w:hAnsi="Times New Roman"/>
          <w:bCs/>
          <w:sz w:val="28"/>
          <w:szCs w:val="28"/>
          <w:lang w:val="ru-RU" w:eastAsia="uk-UA"/>
        </w:rPr>
        <w:t>статт</w:t>
      </w:r>
      <w:r w:rsidR="00676329">
        <w:rPr>
          <w:rFonts w:ascii="Times New Roman" w:hAnsi="Times New Roman"/>
          <w:bCs/>
          <w:sz w:val="28"/>
          <w:szCs w:val="28"/>
          <w:lang w:eastAsia="uk-UA"/>
        </w:rPr>
        <w:t>і 14:</w:t>
      </w:r>
    </w:p>
    <w:p w:rsidR="00A3748F" w:rsidRPr="00A3748F" w:rsidRDefault="00A3748F" w:rsidP="007A0989">
      <w:pPr>
        <w:spacing w:after="0" w:line="360" w:lineRule="auto"/>
        <w:ind w:firstLine="680"/>
        <w:jc w:val="both"/>
        <w:rPr>
          <w:rFonts w:ascii="Times New Roman" w:hAnsi="Times New Roman"/>
          <w:bCs/>
          <w:sz w:val="28"/>
          <w:szCs w:val="28"/>
          <w:lang w:eastAsia="uk-UA"/>
        </w:rPr>
      </w:pPr>
      <w:r>
        <w:rPr>
          <w:rFonts w:ascii="Times New Roman" w:hAnsi="Times New Roman"/>
          <w:bCs/>
          <w:sz w:val="28"/>
          <w:szCs w:val="28"/>
          <w:lang w:eastAsia="uk-UA"/>
        </w:rPr>
        <w:t>1) доповнити підпунктом 14.1.94</w:t>
      </w:r>
      <w:r>
        <w:rPr>
          <w:rFonts w:ascii="Times New Roman" w:hAnsi="Times New Roman"/>
          <w:bCs/>
          <w:sz w:val="28"/>
          <w:szCs w:val="28"/>
          <w:vertAlign w:val="superscript"/>
          <w:lang w:eastAsia="uk-UA"/>
        </w:rPr>
        <w:t>1</w:t>
      </w:r>
      <w:r>
        <w:rPr>
          <w:rFonts w:ascii="Times New Roman" w:hAnsi="Times New Roman"/>
          <w:bCs/>
          <w:sz w:val="28"/>
          <w:szCs w:val="28"/>
          <w:lang w:eastAsia="uk-UA"/>
        </w:rPr>
        <w:t xml:space="preserve">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«14.1.94</w:t>
      </w:r>
      <w:r w:rsidRPr="005853FA">
        <w:rPr>
          <w:rFonts w:ascii="Times New Roman" w:hAnsi="Times New Roman"/>
          <w:bCs/>
          <w:sz w:val="28"/>
          <w:szCs w:val="28"/>
          <w:vertAlign w:val="superscript"/>
          <w:lang w:eastAsia="uk-UA"/>
        </w:rPr>
        <w:t>1</w:t>
      </w:r>
      <w:r w:rsidRPr="005853FA">
        <w:rPr>
          <w:rFonts w:ascii="Times New Roman" w:hAnsi="Times New Roman"/>
          <w:bCs/>
          <w:sz w:val="28"/>
          <w:szCs w:val="28"/>
          <w:lang w:eastAsia="uk-UA"/>
        </w:rPr>
        <w:t xml:space="preserve"> користувачі для цілей розділу XIІ цього Кодексу - юридичні та фізичні особи (резиденти і нерезиденти), яким відповідно до закону надані у користування земельні ділянки приватної власності, у тому числі на умовах оренди, суборенди, емфітевзису,  а також землекористувачі</w:t>
      </w:r>
      <w:r>
        <w:rPr>
          <w:rFonts w:ascii="Times New Roman" w:hAnsi="Times New Roman"/>
          <w:bCs/>
          <w:sz w:val="28"/>
          <w:szCs w:val="28"/>
          <w:lang w:eastAsia="uk-UA"/>
        </w:rPr>
        <w:t>»;</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підпункт 14.1.234 після слів «для цілей» доповнити словами та цифрами «розділу XIІ та»;</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3) у підпункті 14.1.235 слова та цифри «для цілей глави 1 розділу XIV цього Кодексу» виключити, а після слів «та здійснює операції з її постачання» доповнити словами та цифрами «у якої частка сільськогосподарського товаровиробництва за попередній податковий (звітний) рік (для новоутворених осіб – за період з дня державної реєстрації до 31 грудня того ж року)  дорівнює або перевищує 75 відсотків»;</w:t>
      </w:r>
    </w:p>
    <w:p w:rsidR="005853FA" w:rsidRPr="005853FA" w:rsidRDefault="00E52D70" w:rsidP="005853FA">
      <w:pPr>
        <w:spacing w:after="0" w:line="360" w:lineRule="auto"/>
        <w:ind w:firstLine="680"/>
        <w:jc w:val="both"/>
        <w:rPr>
          <w:rFonts w:ascii="Times New Roman" w:hAnsi="Times New Roman"/>
          <w:bCs/>
          <w:sz w:val="28"/>
          <w:szCs w:val="28"/>
          <w:lang w:eastAsia="uk-UA"/>
        </w:rPr>
      </w:pPr>
      <w:r>
        <w:rPr>
          <w:rFonts w:ascii="Times New Roman" w:hAnsi="Times New Roman"/>
          <w:bCs/>
          <w:sz w:val="28"/>
          <w:szCs w:val="28"/>
          <w:lang w:eastAsia="uk-UA"/>
        </w:rPr>
        <w:t>4</w:t>
      </w:r>
      <w:r w:rsidR="005853FA" w:rsidRPr="005853FA">
        <w:rPr>
          <w:rFonts w:ascii="Times New Roman" w:hAnsi="Times New Roman"/>
          <w:bCs/>
          <w:sz w:val="28"/>
          <w:szCs w:val="28"/>
          <w:lang w:eastAsia="uk-UA"/>
        </w:rPr>
        <w:t>) підпункт 14.1.262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«14.1.262. частка сільськогосподарського товаровиробництва - питома вага доходу сільськогосподарського товаровиробника, отриманого від реалізації сільськогосподарської продукції власного виробництва та продуктів її переробки, у загальній сумі його доходу»</w:t>
      </w:r>
      <w:r>
        <w:rPr>
          <w:rFonts w:ascii="Times New Roman" w:hAnsi="Times New Roman"/>
          <w:bCs/>
          <w:sz w:val="28"/>
          <w:szCs w:val="28"/>
          <w:lang w:eastAsia="uk-UA"/>
        </w:rPr>
        <w:t>.</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2. Пункт 17.1 статті 17 доповнити підпунктом 17.1.16 такого змісту: </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«17.1.16. зменшити суму податкового зобов'язання з одного податку шляхом заліку сплаченої суми податкового зобов'язання з іншого податку у випадках та порядку, встановленими цим Кодексом».</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3. Пункт 38.1 статті 38 доповнити підпунктом 38.1.1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«38.1.1. Податковий обов'</w:t>
      </w:r>
      <w:r>
        <w:rPr>
          <w:rFonts w:ascii="Times New Roman" w:hAnsi="Times New Roman"/>
          <w:bCs/>
          <w:sz w:val="28"/>
          <w:szCs w:val="28"/>
          <w:lang w:eastAsia="uk-UA"/>
        </w:rPr>
        <w:t>язок також визнається виконаним</w:t>
      </w:r>
      <w:r w:rsidRPr="005853FA">
        <w:rPr>
          <w:rFonts w:ascii="Times New Roman" w:hAnsi="Times New Roman"/>
          <w:bCs/>
          <w:sz w:val="28"/>
          <w:szCs w:val="28"/>
          <w:lang w:eastAsia="uk-UA"/>
        </w:rPr>
        <w:t xml:space="preserve"> у разі застосування норм підпункту</w:t>
      </w:r>
      <w:r>
        <w:rPr>
          <w:rFonts w:ascii="Times New Roman" w:hAnsi="Times New Roman"/>
          <w:bCs/>
          <w:sz w:val="28"/>
          <w:szCs w:val="28"/>
          <w:lang w:eastAsia="uk-UA"/>
        </w:rPr>
        <w:t xml:space="preserve"> 17.1.16 пункту 17.1 статті 17 </w:t>
      </w:r>
      <w:r w:rsidRPr="005853FA">
        <w:rPr>
          <w:rFonts w:ascii="Times New Roman" w:hAnsi="Times New Roman"/>
          <w:bCs/>
          <w:sz w:val="28"/>
          <w:szCs w:val="28"/>
          <w:lang w:eastAsia="uk-UA"/>
        </w:rPr>
        <w:t>цього Кодексу»</w:t>
      </w:r>
      <w:r>
        <w:rPr>
          <w:rFonts w:ascii="Times New Roman" w:hAnsi="Times New Roman"/>
          <w:bCs/>
          <w:sz w:val="28"/>
          <w:szCs w:val="28"/>
          <w:lang w:eastAsia="uk-UA"/>
        </w:rPr>
        <w:t>.</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4. Підпункт 72.1.2 пункту 72.1 статті 72 доповнити підпунктом 72.1.2.7.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«72.1.2.7. про власників та користувачів, в тому числі на правах оренди (суборенди), емфітевзису, земельних ділянок/земельних часток (паїв) сільськогосподарських угідь».</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5. У  пункті 73.2 статті 73:</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абзац перший після цифр “72.1.2.6” доповнити  цифрами “72.1.2.7”;</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доповнити новим підпунктом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“73.2.5. інформація, зазначена у підпункті 72.1.2.7 підпункту 72.1.2 пункту 72.1 статті 72 цього Кодексу, надається органами місцевого самоврядування до 1 березня року, наступного за звітним”.</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6. У пункті 165.1 статті 165:</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1) у підпункті 165.1.24:</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абзац перший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«165.1.24. доходи, отримані від продажу власної сільськогосподарської продукції, що вирощена, зібрана, виготовлена, вироблена, оброблена та/або перероблена безпосередньо фізичною особою на земельних ділянках, які не перевищують 3 розмірів мінімальної  заробітної плати (у розрахунку на рік), що встановлена на 1 січ</w:t>
      </w:r>
      <w:r>
        <w:rPr>
          <w:rFonts w:ascii="Times New Roman" w:hAnsi="Times New Roman"/>
          <w:bCs/>
          <w:sz w:val="28"/>
          <w:szCs w:val="28"/>
          <w:lang w:eastAsia="uk-UA"/>
        </w:rPr>
        <w:t>ня звітного (податкового року)»;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абзаци другий – четвертий виключити.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7. У статті 269:</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пункт 269.1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«269.1. Платниками податку є:</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269.1.1. власники земельних ділянок/земельних часток (паїв), крім </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сільськогосподарських угідь;</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269.1.2. власники земельних ділянок/земельних часток (паїв) сільськогосподарських угідь, за виключенням випадку перебування таких угідь в користуванні інших осіб;</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269.1.3. користувачі земельних ділянок/земельних часток (па</w:t>
      </w:r>
      <w:r>
        <w:rPr>
          <w:rFonts w:ascii="Times New Roman" w:hAnsi="Times New Roman"/>
          <w:bCs/>
          <w:sz w:val="28"/>
          <w:szCs w:val="28"/>
          <w:lang w:eastAsia="uk-UA"/>
        </w:rPr>
        <w:t>їв) сільськогосподарських угідь;</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269.1.4. землекористувачі, крім сільськогосподарських угідь</w:t>
      </w:r>
      <w:r>
        <w:rPr>
          <w:rFonts w:ascii="Times New Roman" w:hAnsi="Times New Roman"/>
          <w:bCs/>
          <w:sz w:val="28"/>
          <w:szCs w:val="28"/>
          <w:lang w:eastAsia="uk-UA"/>
        </w:rPr>
        <w:t>».</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8. Статтю 271 доповнити пунктом 271.1</w:t>
      </w:r>
      <w:r w:rsidRPr="005853FA">
        <w:rPr>
          <w:rFonts w:ascii="Times New Roman" w:hAnsi="Times New Roman"/>
          <w:bCs/>
          <w:sz w:val="28"/>
          <w:szCs w:val="28"/>
          <w:vertAlign w:val="superscript"/>
          <w:lang w:eastAsia="uk-UA"/>
        </w:rPr>
        <w:t>1</w:t>
      </w:r>
      <w:r w:rsidRPr="005853FA">
        <w:rPr>
          <w:rFonts w:ascii="Times New Roman" w:hAnsi="Times New Roman"/>
          <w:bCs/>
          <w:sz w:val="28"/>
          <w:szCs w:val="28"/>
          <w:lang w:eastAsia="uk-UA"/>
        </w:rPr>
        <w:t xml:space="preserve">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«271.11. База оподаткування податком за земельні ділянки/земельні частки (паїв) сільськогосподарських угідь для фізичних осіб підлягає зменшенню на суму нормативної грошової оцінки 1 гектара ріллі по Автономній Республіці Крим або по області.</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У разі, якщо платник податку має у власності декілька земельних ділянок/земельних часток (паїв), зменшенню підлягає база оподаткування земельної ділянки/земельної частки (паю), що розташована в Автономній Республіці Крим або області з найвищою нормативною г</w:t>
      </w:r>
      <w:r w:rsidR="004B149D">
        <w:rPr>
          <w:rFonts w:ascii="Times New Roman" w:hAnsi="Times New Roman"/>
          <w:bCs/>
          <w:sz w:val="28"/>
          <w:szCs w:val="28"/>
          <w:lang w:eastAsia="uk-UA"/>
        </w:rPr>
        <w:t>рошовою оцінкою 1 гектара ріллі</w:t>
      </w:r>
      <w:r w:rsidRPr="005853FA">
        <w:rPr>
          <w:rFonts w:ascii="Times New Roman" w:hAnsi="Times New Roman"/>
          <w:bCs/>
          <w:sz w:val="28"/>
          <w:szCs w:val="28"/>
          <w:lang w:eastAsia="uk-UA"/>
        </w:rPr>
        <w:t>».</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9. Пункт 274.1 статті 274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«274.1. Ставка податку за земельні ділянки, нормативну грошову оцінку яких проведено, встановлюється у розмірі не більше 5 відсотків від їх нормативної грошової оцінки: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для земель загального користування – не більше 1 відсотка від їх нормативної грошової оцінки; </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для сільськогосподарських угідь – не менше 3 відсотків та не більше 4 відсотків від їх нормативної грошової оцінки. При цьому для однієї категорії земельних ділянок встановлюється єдина ставка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для лісових земель – не більше 0,1 відсотка від їх нормативної грошової оцінки».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10. Пункт 277.1 статті 277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«277.1. Ставка податку за земельні ділянки,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для сільськогосподарських угідь – не менше 3 відсотків та не більше 4 відсотків від нормативної грошової оцінки одиниці площі ріллі по Автономній Республіці Крим або по області. При цьому для однієї категорії земельних ділянок встановлюється єдина ставка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для лісових земель – не більше 0,1 відсотка від нормативної грошової оцінки площі ріллі по Автономній Республіці Крим або по області».</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11. Підпункт 281.2.1 пункту 281.2 статті 281 виключити.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val="ru-RU" w:eastAsia="uk-UA"/>
        </w:rPr>
        <w:t xml:space="preserve">12. У </w:t>
      </w:r>
      <w:r w:rsidRPr="005853FA">
        <w:rPr>
          <w:rFonts w:ascii="Times New Roman" w:hAnsi="Times New Roman"/>
          <w:bCs/>
          <w:sz w:val="28"/>
          <w:szCs w:val="28"/>
          <w:lang w:eastAsia="uk-UA"/>
        </w:rPr>
        <w:t>статті 286:</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пункт 286.2 після слів «про розмір нормативної грошової оцінки земельної ділянки» доповнити словами «(у разі проведення нормативної грошової оцінки)»;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 2) пункт 286.5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«286.5. Нарахування фізичним особам сум податку проводиться контролюючими органами (за місцем знаходження земельної ділянки), які надсилають (вручають) платникові за місцем його реєстрації до 1 липня </w:t>
      </w:r>
      <w:r w:rsidRPr="005853FA">
        <w:rPr>
          <w:rFonts w:ascii="Times New Roman" w:hAnsi="Times New Roman"/>
          <w:bCs/>
          <w:sz w:val="28"/>
          <w:szCs w:val="28"/>
          <w:lang w:eastAsia="uk-UA"/>
        </w:rPr>
        <w:lastRenderedPageBreak/>
        <w:t>поточного року податкове повідомлення-рішення про внесення податку за формою, встановленою у порядку, визначеному статтею 58 цього Кодексу.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У разі переходу права власності/користування на земельну ділянку від одного власника/користувача - юридичної або фізичної особи до іншого протягом календарного року податок сплачується попереднім власником/користувачем за період з 1 січня цього року до початку того місяця, в якому припинилося право власності/користування на зазначену земельну ділянку, а новим власником/користувачем - починаючи з місяця, в якому він набув право власності/користування.</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У разі переходу права власності/користування на земельну ділянку від одного власника/користувача - фізичної особи до іншого протягом календарного року контролюючий орган надсилає (вручає) податкове повідомлення-рішення новому власнику/користувачу після отримання інформації про перехід права власності/користування.</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Якщо такий перехід відбувається після 1 липня поточного року, то контролюючий орган надсилає (вручає) попередньому власнику/користувачу нове податкове повідомлення-рішення. Попереднє податкове повідомлення-рішення вважається скасованим (відкликаним).</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Платники податку мають право звернутися з письмовою заявою до контролюючого органу за місцем знаходження земельної ділянки для проведення звірки даних щодо:</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розміру площі земельної ділянки, що перебуває у власності та/або користуванні платника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права на користування пільгою із сплати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розміру ставки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нарахованої суми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У разі виявлення розбіжностей між даними контролюючих органів та даними, підтвердженими платником податку на підставі відповідних документів, зокрема документів на право власності, користування пільгою, контролюючий орган за місцем знаходження земельної ділянки проводить </w:t>
      </w:r>
      <w:r w:rsidRPr="005853FA">
        <w:rPr>
          <w:rFonts w:ascii="Times New Roman" w:hAnsi="Times New Roman"/>
          <w:bCs/>
          <w:sz w:val="28"/>
          <w:szCs w:val="28"/>
          <w:lang w:eastAsia="uk-UA"/>
        </w:rPr>
        <w:lastRenderedPageBreak/>
        <w:t>протягом десяти робочих днів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13. У статті 287:</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абзац перший пункту 287.1 після слів «Власники землі» доповнити словами «користувачі»;</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пункт 287.3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«287.3. Податкове зобов'язання щодо плати за землю, визначене у податковій декларації на поточний рік або у податковій декларації за нововідведені земельні ділянки, сплачується рівними частками (крім податкових зобов'язань за земельні ділянки/земельні частки (паїв) сільськогосподарських угідь) власниками, користувачами та землекористувачами земельних ділянок за місцезнаходженням земельної ділянки за податковий період, який дорівнює календарному місяцю, щомісяця протягом 30 календарних днів, що настають за останнім календарним днем податкового (звітного) місяця.</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Податкове зобов'язання за земельні ділянки/земельні частки (паїв) сільськогосподарських угідь сплачується таким чином:</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- 1 відсоток від їх нормативної грошової оцінки у строк, визначений абзацом першим цього пункту;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решта відсотків від їх нормативної грошової оцінки сплачується протягом 10 календарних днів, що настають за останнім днем для подання річної податкової декларації»;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3) підпункт 287.4 виключити;  </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4) абзац перший пункту 287.5 замінити чотирма абзацами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«287.5. Податок фізичними особами сплачується протягом 60 днів з дня вручення податкового повідомлення-рішення, крім податку за земельні ділянки/земельні частки (паїв) сільськогосподарських угідь.</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Податок фізичними особами за земельні ділянки/земельні частки (паїв) сільськогосподарських угідь сплачується таким чином:</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- 1 відсоток від їх нормативної грошової оцінки протягом 60 днів з дня вручення податкового повідомлення-рішення;</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решта відсотків від їх нормативної грошової оцінки сплачується у строк, визначений пунктом 179.7 статті 179 цього Кодексу»;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5) пункт 287.9 доповнити підпунктом 287.9.1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«287.9.1. Платник податку, який не отримав податкове (податкові) повідомлення-рішення до 1 липня поточного року, має право самостійно розрахувати суму податку та сплатити її до бюджету у спосіб, визначений частиною </w:t>
      </w:r>
      <w:r w:rsidRPr="005853FA">
        <w:rPr>
          <w:rFonts w:ascii="Times New Roman" w:hAnsi="Times New Roman"/>
          <w:bCs/>
          <w:sz w:val="28"/>
          <w:szCs w:val="28"/>
          <w:lang w:val="ru-RU" w:eastAsia="uk-UA"/>
        </w:rPr>
        <w:t>другою</w:t>
      </w:r>
      <w:r w:rsidRPr="005853FA">
        <w:rPr>
          <w:rFonts w:ascii="Times New Roman" w:hAnsi="Times New Roman"/>
          <w:bCs/>
          <w:sz w:val="28"/>
          <w:szCs w:val="28"/>
          <w:lang w:eastAsia="uk-UA"/>
        </w:rPr>
        <w:t xml:space="preserve"> пункту 287.5 цієї статті, або у будь-який інший спосіб»;</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6) доповнити пунктами 287.11 та 287.12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 «287.11. Платник земельного податку за земельні ділянки/земельні частки (паїв) сільськогосподарських угідь має право зменшити (провести залік) суму податку, що перевищує 1 відсоток від нормативної грошової оцінки таких ділянок/ частки (паїв):</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287.11.1. фізична особа - на суму сплаченого (в тому числі податковими агентами) податкового зобов'язання з податку на доходи фізичних осіб, яка розрахована від доходів, отриманих від продажу сільськогосподарської продукції;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287.11.2. фізична особа-підприємець або юридична особа, які є сільськогосподарськими товаровиробниками: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 – на суму сплаченого такою особою - податковим агентом податкового зобов'язання з податку на доходи фізичних осіб (за виключенням сум, які сплачені податковим агентом згідно підпункту 287.11.1 цього пункту);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або на суму сплаченого єдиного податку третьої групи;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або на суму сплаченого податку на прибуток підприємств.</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Якщо сума земельного податку менша за суму сплаченого іншого податку, який визначений в цьому пункті, залишок суми такого податку, не врахований у зменшення земельного податку поточного періоду, не переноситься на зменшення такого податку наступних податкових (звітних) періодів.</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Порядок зменшення (проведення заліку) суми земельного податку встановлюється центральним органом виконавчої влади, що забезпечує формування та реалізує державну фінансову політику.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287.12. У разі якщо користувачі земельних ділянок/земельних часток (паїв) сільськогосподарських угідь орендують земельні ділянки приватної власності вони мають право сплатити податковий борг з земельного податку за власників таких ділянок (паїв).</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Порядок зарахування сплати коштів за інших осіб встановлюється центральним органом виконавчої влади, що забезпечує формування та реалізує державну фінансову політику».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14. У підпункті 288.5.1 пункту 288.5 статті 288:</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абзаці другому слова і цифри «не менше 0,3 відсотка та не більше 1 відсотка їх нормативної грошової оцінки» замінити словами «не менше 3 відсотків та не більше 4 відсотків їх нормативної грошової оцінки»;</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в абзаці третьому слова і цифри «не менше 0,3 відсотка та не більше 5 відсотків» замінити словами і цифрами «не менше 3 відсотків та не більше 4 відсотків».</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15. У статті 293:</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пункт 293.9 викласти у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«293.9. Для платників єдиного податку четвертої групи розмір ставок податку (СЄП) з одного гектара сільськогосподарських угідь та/або земель водного фонду залежить від категорії (типу) земель, їх розташування розраховується (у відсотках бази оподаткування) за формулою:</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СЄП =  БС + СЗП,</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де:</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БС – ставка для відповідної категорії (типу) земель, зазначених у підпунктах 293.9.1 – 293.9.4 цього пункту;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СЗП – ставка земельного податку, встановлена  органом місцевого самоврядування.</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293.9.1. для ріллі, сіножатей і пасовищ (крім ріллі, сіножатей і пасовищ, розташованих у гірських зонах та на поліських територіях, а також сільськогосподарських угідь, що перебувають в умовах закритого ґрунту) – 0,2;</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293.9.2. для ріллі, сіножатей і пасовищ, розташованих у гірських зонах та на поліських територіях; для багаторічних насаджень (крім багаторічних насаджень, розташованих у гірських зонах та на поліських територіях); для багаторічних насаджень, розташованих у гірських зонах та на поліських територіях,  – 0,1;</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293.9.3. для земель водного фонду – 1,68;</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293.9.4. для сільськогосподарських угідь, що перебувають в умовах закритого ґрунту, – 5,58».</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16. У пункті 295.9 статті 295:</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 доповнити підпунктом 295.9.1</w:t>
      </w:r>
      <w:r w:rsidRPr="005853FA">
        <w:rPr>
          <w:rFonts w:ascii="Times New Roman" w:hAnsi="Times New Roman"/>
          <w:bCs/>
          <w:sz w:val="28"/>
          <w:szCs w:val="28"/>
          <w:vertAlign w:val="superscript"/>
          <w:lang w:eastAsia="uk-UA"/>
        </w:rPr>
        <w:t>1</w:t>
      </w:r>
      <w:r w:rsidRPr="005853FA">
        <w:rPr>
          <w:rFonts w:ascii="Times New Roman" w:hAnsi="Times New Roman"/>
          <w:bCs/>
          <w:sz w:val="28"/>
          <w:szCs w:val="28"/>
          <w:lang w:eastAsia="uk-UA"/>
        </w:rPr>
        <w:t xml:space="preserve">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 «295.9.1</w:t>
      </w:r>
      <w:r w:rsidRPr="005853FA">
        <w:rPr>
          <w:rFonts w:ascii="Times New Roman" w:hAnsi="Times New Roman"/>
          <w:bCs/>
          <w:sz w:val="28"/>
          <w:szCs w:val="28"/>
          <w:vertAlign w:val="superscript"/>
          <w:lang w:eastAsia="uk-UA"/>
        </w:rPr>
        <w:t>1</w:t>
      </w:r>
      <w:r w:rsidRPr="005853FA">
        <w:rPr>
          <w:rFonts w:ascii="Times New Roman" w:hAnsi="Times New Roman"/>
          <w:bCs/>
          <w:sz w:val="28"/>
          <w:szCs w:val="28"/>
          <w:lang w:eastAsia="uk-UA"/>
        </w:rPr>
        <w:t>. мають право зменшити суму податку (провести залік), що перевищує 1 відсоток від нормативної грошової оцінки сільськогосподарських угідь, на суму сплаченого такими особами - податковими агентами податку на доходи фізичних осіб.</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Якщо сума податку більша, ніж сума податку на доходи фізичних осіб, залишок суми єдиного податку сплачується до бюджету».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підпункт 295.9.2 після слів «сплачують податок», доповнити словами «який не перевищує 1 відсоток від нормативної грошової оцінки земельних ділянок»;</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3) доповнити підпунктом 295.9.2</w:t>
      </w:r>
      <w:r w:rsidRPr="005853FA">
        <w:rPr>
          <w:rFonts w:ascii="Times New Roman" w:hAnsi="Times New Roman"/>
          <w:bCs/>
          <w:sz w:val="28"/>
          <w:szCs w:val="28"/>
          <w:vertAlign w:val="superscript"/>
          <w:lang w:eastAsia="uk-UA"/>
        </w:rPr>
        <w:t xml:space="preserve">1 </w:t>
      </w:r>
      <w:r w:rsidRPr="005853FA">
        <w:rPr>
          <w:rFonts w:ascii="Times New Roman" w:hAnsi="Times New Roman"/>
          <w:bCs/>
          <w:sz w:val="28"/>
          <w:szCs w:val="28"/>
          <w:lang w:eastAsia="uk-UA"/>
        </w:rPr>
        <w:t>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«295.9.2</w:t>
      </w:r>
      <w:r w:rsidRPr="005853FA">
        <w:rPr>
          <w:rFonts w:ascii="Times New Roman" w:hAnsi="Times New Roman"/>
          <w:bCs/>
          <w:sz w:val="28"/>
          <w:szCs w:val="28"/>
          <w:vertAlign w:val="superscript"/>
          <w:lang w:eastAsia="uk-UA"/>
        </w:rPr>
        <w:t>1</w:t>
      </w:r>
      <w:r w:rsidRPr="005853FA">
        <w:rPr>
          <w:rFonts w:ascii="Times New Roman" w:hAnsi="Times New Roman"/>
          <w:bCs/>
          <w:sz w:val="28"/>
          <w:szCs w:val="28"/>
          <w:lang w:eastAsia="uk-UA"/>
        </w:rPr>
        <w:t>. сплачують податок, який перевищує 1 відсоток від нормативної грошової оцінки земельних ділянок, протягом 10 календарних днів, що настають за останнім днем для подання річної податкової декларації».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17. Підпункт 4 пункту 297.1 статті 297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«4) податку на майно (в частині земельного податку), крім земельного податку: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для пл</w:t>
      </w:r>
      <w:r w:rsidR="00E61F35">
        <w:rPr>
          <w:rFonts w:ascii="Times New Roman" w:hAnsi="Times New Roman"/>
          <w:bCs/>
          <w:sz w:val="28"/>
          <w:szCs w:val="28"/>
          <w:lang w:eastAsia="uk-UA"/>
        </w:rPr>
        <w:t>атників першої - третьої груп -</w:t>
      </w:r>
      <w:r w:rsidRPr="005853FA">
        <w:rPr>
          <w:rFonts w:ascii="Times New Roman" w:hAnsi="Times New Roman"/>
          <w:bCs/>
          <w:sz w:val="28"/>
          <w:szCs w:val="28"/>
          <w:lang w:eastAsia="uk-UA"/>
        </w:rPr>
        <w:t xml:space="preserve"> за земельні д</w:t>
      </w:r>
      <w:r w:rsidR="00E61F35">
        <w:rPr>
          <w:rFonts w:ascii="Times New Roman" w:hAnsi="Times New Roman"/>
          <w:bCs/>
          <w:sz w:val="28"/>
          <w:szCs w:val="28"/>
          <w:lang w:eastAsia="uk-UA"/>
        </w:rPr>
        <w:t xml:space="preserve">ілянки, що не використовуються </w:t>
      </w:r>
      <w:r w:rsidRPr="005853FA">
        <w:rPr>
          <w:rFonts w:ascii="Times New Roman" w:hAnsi="Times New Roman"/>
          <w:bCs/>
          <w:sz w:val="28"/>
          <w:szCs w:val="28"/>
          <w:lang w:eastAsia="uk-UA"/>
        </w:rPr>
        <w:t>для провадження господарської діяльності та земельні ділянки сільськогосподарського призначення;</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для платників четвертої групи – за земельні ділянки, що не використовуються для ведення сільськогосподарського товаровиробництва».</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18.  Підпункт  298.9 викласти в такій редакції:</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«298.9. Відомості про реєстрацію або анулювання реєстрації платника єдиного податку четвертої групи у формі витягу з реєстру платників єдиного податку не пізніше 30 календарних днів з дня такої реєстрації надаються контролюючим органом органу місцевого самоврядування за податковою адресою такого платника податку та органу місцевого самоврядування за місцем розташування земельних ділянок».</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19. Підрозділ 8 розділу ХХ «Перехідні положення доповнити пунктом 6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«6. Тимчасово, до закінчення строку дії договорів оренди сільськогосподарських угідь державної та комунальної власності (без врахування строку їх поновлення), які укладені платниками єдиного податку четвертої групи та є чинними на момент набрання чинності Закону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при розрахунку суми єдиного податку четвертої групи для таких платників податку застосовуються ставки податку, які визначені у пункті 293.9 статті 293 цього Кодексу, в редакції, що діяла станом на 31 грудня 2020 року».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ІІ. Прикінцеві положення </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 xml:space="preserve">1. Цей Закон набирає чинності з 1 січня 2021 року. </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t>2. Пункт “б” частини першої статті 33 Закону України “Про місцеве самоврядування в Україні” (Відомості Верховної Ради України, 1997 р., №24, ст.170) доповнити підпунктом 14 такого змісту:</w:t>
      </w:r>
    </w:p>
    <w:p w:rsidR="005853FA" w:rsidRPr="005853FA" w:rsidRDefault="005853FA" w:rsidP="005853FA">
      <w:pPr>
        <w:spacing w:after="0" w:line="360" w:lineRule="auto"/>
        <w:ind w:firstLine="680"/>
        <w:jc w:val="both"/>
        <w:rPr>
          <w:rFonts w:ascii="Times New Roman" w:hAnsi="Times New Roman"/>
          <w:bCs/>
          <w:sz w:val="28"/>
          <w:szCs w:val="28"/>
          <w:lang w:eastAsia="uk-UA"/>
        </w:rPr>
      </w:pPr>
      <w:r w:rsidRPr="005853FA">
        <w:rPr>
          <w:rFonts w:ascii="Times New Roman" w:hAnsi="Times New Roman"/>
          <w:bCs/>
          <w:sz w:val="28"/>
          <w:szCs w:val="28"/>
          <w:lang w:eastAsia="uk-UA"/>
        </w:rPr>
        <w:lastRenderedPageBreak/>
        <w:t xml:space="preserve">“14) надання контролюючим органам у строки та в порядку, передбачених Податковим кодексом України, інформації щодо власників та користувачів, в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та ради об’єднаних територіальних громад, що створені згідно із законом та перспективним планом формування територій громад”. </w:t>
      </w:r>
    </w:p>
    <w:p w:rsidR="001C7E08" w:rsidRDefault="001C7E08" w:rsidP="007A0989">
      <w:pPr>
        <w:spacing w:after="0" w:line="360" w:lineRule="auto"/>
        <w:ind w:firstLine="680"/>
        <w:jc w:val="both"/>
        <w:rPr>
          <w:rFonts w:ascii="Times New Roman" w:hAnsi="Times New Roman"/>
          <w:bCs/>
          <w:sz w:val="28"/>
          <w:szCs w:val="28"/>
          <w:lang w:eastAsia="uk-UA"/>
        </w:rPr>
      </w:pPr>
    </w:p>
    <w:p w:rsidR="007C4F6F" w:rsidRPr="007C4F6F" w:rsidRDefault="007C4F6F" w:rsidP="007C4F6F">
      <w:pPr>
        <w:widowControl w:val="0"/>
        <w:autoSpaceDE w:val="0"/>
        <w:autoSpaceDN w:val="0"/>
        <w:adjustRightInd w:val="0"/>
        <w:spacing w:after="0"/>
        <w:ind w:left="709"/>
        <w:rPr>
          <w:rFonts w:ascii="Times New Roman" w:hAnsi="Times New Roman"/>
          <w:b/>
          <w:sz w:val="28"/>
          <w:szCs w:val="28"/>
          <w:lang w:eastAsia="ru-RU"/>
        </w:rPr>
      </w:pPr>
      <w:r w:rsidRPr="007C4F6F">
        <w:rPr>
          <w:rFonts w:ascii="Times New Roman" w:hAnsi="Times New Roman"/>
          <w:b/>
          <w:sz w:val="28"/>
          <w:szCs w:val="28"/>
          <w:lang w:eastAsia="ru-RU"/>
        </w:rPr>
        <w:t xml:space="preserve">Голова Верховної  Ради </w:t>
      </w:r>
    </w:p>
    <w:p w:rsidR="007C4F6F" w:rsidRPr="007C4F6F" w:rsidRDefault="007C4F6F" w:rsidP="007C4F6F">
      <w:pPr>
        <w:widowControl w:val="0"/>
        <w:autoSpaceDE w:val="0"/>
        <w:autoSpaceDN w:val="0"/>
        <w:adjustRightInd w:val="0"/>
        <w:spacing w:after="0"/>
        <w:ind w:left="709" w:firstLine="708"/>
        <w:rPr>
          <w:rFonts w:ascii="Times New Roman" w:hAnsi="Times New Roman"/>
          <w:b/>
          <w:sz w:val="28"/>
          <w:szCs w:val="28"/>
          <w:lang w:eastAsia="ru-RU"/>
        </w:rPr>
      </w:pPr>
      <w:r w:rsidRPr="007C4F6F">
        <w:rPr>
          <w:rFonts w:ascii="Times New Roman" w:hAnsi="Times New Roman"/>
          <w:b/>
          <w:sz w:val="28"/>
          <w:szCs w:val="28"/>
          <w:lang w:eastAsia="ru-RU"/>
        </w:rPr>
        <w:t xml:space="preserve">   України                                                          </w:t>
      </w:r>
      <w:r w:rsidRPr="007C4F6F">
        <w:rPr>
          <w:rFonts w:ascii="Times New Roman" w:hAnsi="Times New Roman"/>
          <w:b/>
          <w:sz w:val="28"/>
          <w:szCs w:val="28"/>
          <w:lang w:val="ru-RU" w:eastAsia="ru-RU"/>
        </w:rPr>
        <w:t xml:space="preserve">                          </w:t>
      </w:r>
    </w:p>
    <w:p w:rsidR="002C2B3C" w:rsidRPr="007A0989" w:rsidRDefault="002C2B3C" w:rsidP="007C4F6F">
      <w:pPr>
        <w:widowControl w:val="0"/>
        <w:suppressAutoHyphens/>
        <w:autoSpaceDE w:val="0"/>
        <w:autoSpaceDN w:val="0"/>
        <w:adjustRightInd w:val="0"/>
        <w:spacing w:after="0" w:line="360" w:lineRule="auto"/>
        <w:ind w:firstLine="680"/>
        <w:jc w:val="both"/>
        <w:rPr>
          <w:rFonts w:ascii="Times New Roman" w:hAnsi="Times New Roman"/>
          <w:sz w:val="28"/>
          <w:szCs w:val="28"/>
          <w:lang w:eastAsia="uk-UA"/>
        </w:rPr>
      </w:pPr>
    </w:p>
    <w:sectPr w:rsidR="002C2B3C" w:rsidRPr="007A0989" w:rsidSect="0072795F">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3C2" w:rsidRDefault="00DB73C2">
      <w:pPr>
        <w:spacing w:after="0" w:line="240" w:lineRule="auto"/>
      </w:pPr>
      <w:r>
        <w:separator/>
      </w:r>
    </w:p>
  </w:endnote>
  <w:endnote w:type="continuationSeparator" w:id="0">
    <w:p w:rsidR="00DB73C2" w:rsidRDefault="00DB7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Tahoma">
    <w:altName w:val=" Arial"/>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3C2" w:rsidRDefault="00DB73C2">
      <w:pPr>
        <w:spacing w:after="0" w:line="240" w:lineRule="auto"/>
      </w:pPr>
      <w:r>
        <w:separator/>
      </w:r>
    </w:p>
  </w:footnote>
  <w:footnote w:type="continuationSeparator" w:id="0">
    <w:p w:rsidR="00DB73C2" w:rsidRDefault="00DB73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95F" w:rsidRDefault="0072795F">
    <w:pPr>
      <w:pStyle w:val="a3"/>
      <w:jc w:val="center"/>
    </w:pPr>
    <w:r w:rsidRPr="0072795F">
      <w:rPr>
        <w:rFonts w:ascii="Times New Roman" w:hAnsi="Times New Roman"/>
        <w:sz w:val="28"/>
        <w:szCs w:val="28"/>
      </w:rPr>
      <w:fldChar w:fldCharType="begin"/>
    </w:r>
    <w:r w:rsidRPr="0072795F">
      <w:rPr>
        <w:rFonts w:ascii="Times New Roman" w:hAnsi="Times New Roman"/>
        <w:sz w:val="28"/>
        <w:szCs w:val="28"/>
      </w:rPr>
      <w:instrText>PAGE   \* MERGEFORMAT</w:instrText>
    </w:r>
    <w:r w:rsidRPr="0072795F">
      <w:rPr>
        <w:rFonts w:ascii="Times New Roman" w:hAnsi="Times New Roman"/>
        <w:sz w:val="28"/>
        <w:szCs w:val="28"/>
      </w:rPr>
      <w:fldChar w:fldCharType="separate"/>
    </w:r>
    <w:r w:rsidR="00093AFD">
      <w:rPr>
        <w:rFonts w:ascii="Times New Roman" w:hAnsi="Times New Roman"/>
        <w:noProof/>
        <w:sz w:val="28"/>
        <w:szCs w:val="28"/>
      </w:rPr>
      <w:t>11</w:t>
    </w:r>
    <w:r w:rsidRPr="0072795F">
      <w:rPr>
        <w:rFonts w:ascii="Times New Roman" w:hAnsi="Times New Roman"/>
        <w:sz w:val="28"/>
        <w:szCs w:val="28"/>
      </w:rPr>
      <w:fldChar w:fldCharType="end"/>
    </w:r>
  </w:p>
  <w:p w:rsidR="0072795F" w:rsidRDefault="007279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2E6606"/>
    <w:multiLevelType w:val="hybridMultilevel"/>
    <w:tmpl w:val="06381582"/>
    <w:lvl w:ilvl="0" w:tplc="F4E8F2B0">
      <w:start w:val="1"/>
      <w:numFmt w:val="decimal"/>
      <w:lvlText w:val="%1)"/>
      <w:lvlJc w:val="left"/>
      <w:pPr>
        <w:ind w:left="1934" w:hanging="375"/>
      </w:pPr>
      <w:rPr>
        <w:rFonts w:cs="Times New Roman"/>
      </w:rPr>
    </w:lvl>
    <w:lvl w:ilvl="1" w:tplc="04220019">
      <w:start w:val="1"/>
      <w:numFmt w:val="lowerLetter"/>
      <w:lvlText w:val="%2."/>
      <w:lvlJc w:val="left"/>
      <w:pPr>
        <w:ind w:left="2639" w:hanging="360"/>
      </w:pPr>
      <w:rPr>
        <w:rFonts w:cs="Times New Roman"/>
      </w:rPr>
    </w:lvl>
    <w:lvl w:ilvl="2" w:tplc="0422001B">
      <w:start w:val="1"/>
      <w:numFmt w:val="lowerRoman"/>
      <w:lvlText w:val="%3."/>
      <w:lvlJc w:val="right"/>
      <w:pPr>
        <w:ind w:left="3359" w:hanging="180"/>
      </w:pPr>
      <w:rPr>
        <w:rFonts w:cs="Times New Roman"/>
      </w:rPr>
    </w:lvl>
    <w:lvl w:ilvl="3" w:tplc="0422000F">
      <w:start w:val="1"/>
      <w:numFmt w:val="decimal"/>
      <w:lvlText w:val="%4."/>
      <w:lvlJc w:val="left"/>
      <w:pPr>
        <w:ind w:left="4079" w:hanging="360"/>
      </w:pPr>
      <w:rPr>
        <w:rFonts w:cs="Times New Roman"/>
      </w:rPr>
    </w:lvl>
    <w:lvl w:ilvl="4" w:tplc="04220019">
      <w:start w:val="1"/>
      <w:numFmt w:val="lowerLetter"/>
      <w:lvlText w:val="%5."/>
      <w:lvlJc w:val="left"/>
      <w:pPr>
        <w:ind w:left="4799" w:hanging="360"/>
      </w:pPr>
      <w:rPr>
        <w:rFonts w:cs="Times New Roman"/>
      </w:rPr>
    </w:lvl>
    <w:lvl w:ilvl="5" w:tplc="0422001B">
      <w:start w:val="1"/>
      <w:numFmt w:val="lowerRoman"/>
      <w:lvlText w:val="%6."/>
      <w:lvlJc w:val="right"/>
      <w:pPr>
        <w:ind w:left="5519" w:hanging="180"/>
      </w:pPr>
      <w:rPr>
        <w:rFonts w:cs="Times New Roman"/>
      </w:rPr>
    </w:lvl>
    <w:lvl w:ilvl="6" w:tplc="0422000F">
      <w:start w:val="1"/>
      <w:numFmt w:val="decimal"/>
      <w:lvlText w:val="%7."/>
      <w:lvlJc w:val="left"/>
      <w:pPr>
        <w:ind w:left="6239" w:hanging="360"/>
      </w:pPr>
      <w:rPr>
        <w:rFonts w:cs="Times New Roman"/>
      </w:rPr>
    </w:lvl>
    <w:lvl w:ilvl="7" w:tplc="04220019">
      <w:start w:val="1"/>
      <w:numFmt w:val="lowerLetter"/>
      <w:lvlText w:val="%8."/>
      <w:lvlJc w:val="left"/>
      <w:pPr>
        <w:ind w:left="6959" w:hanging="360"/>
      </w:pPr>
      <w:rPr>
        <w:rFonts w:cs="Times New Roman"/>
      </w:rPr>
    </w:lvl>
    <w:lvl w:ilvl="8" w:tplc="0422001B">
      <w:start w:val="1"/>
      <w:numFmt w:val="lowerRoman"/>
      <w:lvlText w:val="%9."/>
      <w:lvlJc w:val="right"/>
      <w:pPr>
        <w:ind w:left="7679" w:hanging="180"/>
      </w:pPr>
      <w:rPr>
        <w:rFonts w:cs="Times New Roman"/>
      </w:rPr>
    </w:lvl>
  </w:abstractNum>
  <w:abstractNum w:abstractNumId="1" w15:restartNumberingAfterBreak="0">
    <w:nsid w:val="3B642D5F"/>
    <w:multiLevelType w:val="hybridMultilevel"/>
    <w:tmpl w:val="E18EAEE8"/>
    <w:lvl w:ilvl="0" w:tplc="29E82FE6">
      <w:start w:val="1"/>
      <w:numFmt w:val="decimal"/>
      <w:lvlText w:val="%1."/>
      <w:lvlJc w:val="left"/>
      <w:pPr>
        <w:ind w:left="927"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109"/>
    <w:rsid w:val="00014A5F"/>
    <w:rsid w:val="00023D47"/>
    <w:rsid w:val="00027C80"/>
    <w:rsid w:val="00064CDF"/>
    <w:rsid w:val="00093AFD"/>
    <w:rsid w:val="000945C2"/>
    <w:rsid w:val="0009494D"/>
    <w:rsid w:val="00097109"/>
    <w:rsid w:val="000B4DE5"/>
    <w:rsid w:val="000F003C"/>
    <w:rsid w:val="000F6A82"/>
    <w:rsid w:val="00106139"/>
    <w:rsid w:val="0012282B"/>
    <w:rsid w:val="0012759E"/>
    <w:rsid w:val="001408D2"/>
    <w:rsid w:val="00151872"/>
    <w:rsid w:val="001603FD"/>
    <w:rsid w:val="00162002"/>
    <w:rsid w:val="001C7E08"/>
    <w:rsid w:val="001D340E"/>
    <w:rsid w:val="001F4739"/>
    <w:rsid w:val="00215F84"/>
    <w:rsid w:val="002277D6"/>
    <w:rsid w:val="002364B2"/>
    <w:rsid w:val="00242D89"/>
    <w:rsid w:val="00244AD8"/>
    <w:rsid w:val="00271A0A"/>
    <w:rsid w:val="00284C2F"/>
    <w:rsid w:val="002935D4"/>
    <w:rsid w:val="00293D55"/>
    <w:rsid w:val="002A724F"/>
    <w:rsid w:val="002C20D4"/>
    <w:rsid w:val="002C2B3C"/>
    <w:rsid w:val="002D7F18"/>
    <w:rsid w:val="003143C2"/>
    <w:rsid w:val="00347E81"/>
    <w:rsid w:val="0036307D"/>
    <w:rsid w:val="00366A42"/>
    <w:rsid w:val="003C2523"/>
    <w:rsid w:val="00402280"/>
    <w:rsid w:val="004044BE"/>
    <w:rsid w:val="0043277C"/>
    <w:rsid w:val="004509A5"/>
    <w:rsid w:val="00477F4E"/>
    <w:rsid w:val="004A79C3"/>
    <w:rsid w:val="004B149D"/>
    <w:rsid w:val="004B3E5A"/>
    <w:rsid w:val="004D700E"/>
    <w:rsid w:val="004E0D35"/>
    <w:rsid w:val="004E0E2B"/>
    <w:rsid w:val="005141D6"/>
    <w:rsid w:val="00520753"/>
    <w:rsid w:val="00542FF9"/>
    <w:rsid w:val="005455B8"/>
    <w:rsid w:val="00547634"/>
    <w:rsid w:val="00576716"/>
    <w:rsid w:val="005839B2"/>
    <w:rsid w:val="005853FA"/>
    <w:rsid w:val="005B5A98"/>
    <w:rsid w:val="005C361B"/>
    <w:rsid w:val="005D034E"/>
    <w:rsid w:val="005D3FA1"/>
    <w:rsid w:val="0061308E"/>
    <w:rsid w:val="00631335"/>
    <w:rsid w:val="00640295"/>
    <w:rsid w:val="00676329"/>
    <w:rsid w:val="00685B99"/>
    <w:rsid w:val="006A018D"/>
    <w:rsid w:val="006C6C6C"/>
    <w:rsid w:val="006D3A9C"/>
    <w:rsid w:val="006E39DB"/>
    <w:rsid w:val="006F54F8"/>
    <w:rsid w:val="00706F0F"/>
    <w:rsid w:val="0072795F"/>
    <w:rsid w:val="007348BD"/>
    <w:rsid w:val="00782C5D"/>
    <w:rsid w:val="007A0989"/>
    <w:rsid w:val="007B2457"/>
    <w:rsid w:val="007C263A"/>
    <w:rsid w:val="007C4F6F"/>
    <w:rsid w:val="007D2237"/>
    <w:rsid w:val="007E4639"/>
    <w:rsid w:val="00812DBC"/>
    <w:rsid w:val="008237C6"/>
    <w:rsid w:val="00830C84"/>
    <w:rsid w:val="008311FF"/>
    <w:rsid w:val="00840F63"/>
    <w:rsid w:val="008567E4"/>
    <w:rsid w:val="00875392"/>
    <w:rsid w:val="00875726"/>
    <w:rsid w:val="00876805"/>
    <w:rsid w:val="00880BAB"/>
    <w:rsid w:val="008A74E5"/>
    <w:rsid w:val="008B376A"/>
    <w:rsid w:val="008C18E4"/>
    <w:rsid w:val="008F4A32"/>
    <w:rsid w:val="00930A48"/>
    <w:rsid w:val="0093449A"/>
    <w:rsid w:val="0094231E"/>
    <w:rsid w:val="009600F3"/>
    <w:rsid w:val="00986887"/>
    <w:rsid w:val="00996200"/>
    <w:rsid w:val="009B445F"/>
    <w:rsid w:val="009B51EB"/>
    <w:rsid w:val="009D641B"/>
    <w:rsid w:val="00A00F3D"/>
    <w:rsid w:val="00A227CE"/>
    <w:rsid w:val="00A316A9"/>
    <w:rsid w:val="00A31A23"/>
    <w:rsid w:val="00A3363F"/>
    <w:rsid w:val="00A3748F"/>
    <w:rsid w:val="00A3789E"/>
    <w:rsid w:val="00A66621"/>
    <w:rsid w:val="00A90CAA"/>
    <w:rsid w:val="00AA2D94"/>
    <w:rsid w:val="00AF69E0"/>
    <w:rsid w:val="00B062AF"/>
    <w:rsid w:val="00B25DDD"/>
    <w:rsid w:val="00B74247"/>
    <w:rsid w:val="00BA03C1"/>
    <w:rsid w:val="00BA0652"/>
    <w:rsid w:val="00BC4F72"/>
    <w:rsid w:val="00BC7BBB"/>
    <w:rsid w:val="00C03165"/>
    <w:rsid w:val="00C16347"/>
    <w:rsid w:val="00C35A50"/>
    <w:rsid w:val="00C363B2"/>
    <w:rsid w:val="00C65CAD"/>
    <w:rsid w:val="00C8068A"/>
    <w:rsid w:val="00C876B6"/>
    <w:rsid w:val="00CA57C3"/>
    <w:rsid w:val="00CE3A83"/>
    <w:rsid w:val="00CE73FA"/>
    <w:rsid w:val="00D715B2"/>
    <w:rsid w:val="00D932F5"/>
    <w:rsid w:val="00DA2234"/>
    <w:rsid w:val="00DB73C2"/>
    <w:rsid w:val="00DC1EF7"/>
    <w:rsid w:val="00DE00EE"/>
    <w:rsid w:val="00E257EC"/>
    <w:rsid w:val="00E2772A"/>
    <w:rsid w:val="00E31F0F"/>
    <w:rsid w:val="00E46AF7"/>
    <w:rsid w:val="00E52D70"/>
    <w:rsid w:val="00E61F35"/>
    <w:rsid w:val="00F25D95"/>
    <w:rsid w:val="00F4098F"/>
    <w:rsid w:val="00F7201E"/>
    <w:rsid w:val="00F80BBF"/>
    <w:rsid w:val="00FD0D85"/>
    <w:rsid w:val="00FD2FBC"/>
    <w:rsid w:val="00FD6A1E"/>
    <w:rsid w:val="00FE2114"/>
    <w:rsid w:val="00FE7ADF"/>
    <w:rsid w:val="00FF39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A51E97-819C-4D0C-BC08-2882A4534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iPriority="0"/>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1" w:semiHidden="1" w:unhideWhenUsed="1"/>
    <w:lsdException w:name="Table Grid" w:locked="1" w:uiPriority="5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val="uk-UA" w:eastAsia="en-US"/>
    </w:rPr>
  </w:style>
  <w:style w:type="paragraph" w:styleId="3">
    <w:name w:val="heading 3"/>
    <w:basedOn w:val="a"/>
    <w:link w:val="30"/>
    <w:uiPriority w:val="99"/>
    <w:qFormat/>
    <w:locked/>
    <w:rsid w:val="004D700E"/>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4D700E"/>
    <w:rPr>
      <w:rFonts w:cs="Times New Roman"/>
      <w:b/>
      <w:sz w:val="27"/>
      <w:lang w:val="ru-RU" w:eastAsia="ru-RU"/>
    </w:rPr>
  </w:style>
  <w:style w:type="character" w:customStyle="1" w:styleId="FontStyle">
    <w:name w:val="Font Style"/>
    <w:uiPriority w:val="99"/>
    <w:rsid w:val="004D700E"/>
    <w:rPr>
      <w:color w:val="000000"/>
      <w:sz w:val="28"/>
    </w:rPr>
  </w:style>
  <w:style w:type="paragraph" w:styleId="a3">
    <w:name w:val="header"/>
    <w:basedOn w:val="a"/>
    <w:link w:val="a4"/>
    <w:uiPriority w:val="99"/>
    <w:rsid w:val="00097109"/>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097109"/>
    <w:rPr>
      <w:rFonts w:ascii="Calibri" w:hAnsi="Calibri" w:cs="Times New Roman"/>
    </w:rPr>
  </w:style>
  <w:style w:type="character" w:customStyle="1" w:styleId="st42">
    <w:name w:val="st42"/>
    <w:uiPriority w:val="99"/>
    <w:rsid w:val="00106139"/>
    <w:rPr>
      <w:rFonts w:ascii="Times New Roman" w:hAnsi="Times New Roman"/>
      <w:color w:val="000000"/>
    </w:rPr>
  </w:style>
  <w:style w:type="character" w:styleId="a5">
    <w:name w:val="annotation reference"/>
    <w:basedOn w:val="a0"/>
    <w:uiPriority w:val="99"/>
    <w:semiHidden/>
    <w:rsid w:val="000F6A82"/>
    <w:rPr>
      <w:rFonts w:ascii="Times New Roman" w:hAnsi="Times New Roman" w:cs="Times New Roman"/>
      <w:sz w:val="16"/>
    </w:rPr>
  </w:style>
  <w:style w:type="paragraph" w:styleId="a6">
    <w:name w:val="annotation text"/>
    <w:basedOn w:val="a"/>
    <w:link w:val="a7"/>
    <w:uiPriority w:val="99"/>
    <w:rsid w:val="000F6A82"/>
    <w:pPr>
      <w:spacing w:after="0" w:line="240" w:lineRule="auto"/>
    </w:pPr>
    <w:rPr>
      <w:rFonts w:ascii="Times New Roman" w:hAnsi="Times New Roman"/>
      <w:sz w:val="24"/>
      <w:szCs w:val="24"/>
      <w:lang w:eastAsia="uk-UA"/>
    </w:rPr>
  </w:style>
  <w:style w:type="character" w:customStyle="1" w:styleId="a7">
    <w:name w:val="Текст примітки Знак"/>
    <w:basedOn w:val="a0"/>
    <w:link w:val="a6"/>
    <w:uiPriority w:val="99"/>
    <w:locked/>
    <w:rsid w:val="000F6A82"/>
    <w:rPr>
      <w:rFonts w:cs="Times New Roman"/>
      <w:sz w:val="24"/>
      <w:lang w:val="uk-UA" w:eastAsia="x-none"/>
    </w:rPr>
  </w:style>
  <w:style w:type="paragraph" w:styleId="a8">
    <w:name w:val="Balloon Text"/>
    <w:basedOn w:val="a"/>
    <w:link w:val="a9"/>
    <w:uiPriority w:val="99"/>
    <w:semiHidden/>
    <w:rsid w:val="000F6A82"/>
    <w:rPr>
      <w:rFonts w:ascii="Tahoma" w:hAnsi="Tahoma" w:cs="Tahoma"/>
      <w:sz w:val="16"/>
      <w:szCs w:val="16"/>
    </w:rPr>
  </w:style>
  <w:style w:type="character" w:customStyle="1" w:styleId="a9">
    <w:name w:val="Текст у виносці Знак"/>
    <w:basedOn w:val="a0"/>
    <w:link w:val="a8"/>
    <w:uiPriority w:val="99"/>
    <w:semiHidden/>
    <w:locked/>
    <w:rPr>
      <w:rFonts w:ascii="Segoe UI" w:hAnsi="Segoe UI" w:cs="Segoe UI"/>
      <w:sz w:val="18"/>
      <w:szCs w:val="18"/>
      <w:lang w:val="x-none" w:eastAsia="en-US"/>
    </w:rPr>
  </w:style>
  <w:style w:type="character" w:styleId="aa">
    <w:name w:val="Emphasis"/>
    <w:basedOn w:val="a0"/>
    <w:uiPriority w:val="99"/>
    <w:qFormat/>
    <w:locked/>
    <w:rsid w:val="004D700E"/>
    <w:rPr>
      <w:rFonts w:cs="Times New Roman"/>
      <w:b/>
    </w:rPr>
  </w:style>
  <w:style w:type="character" w:customStyle="1" w:styleId="st1">
    <w:name w:val="st1"/>
    <w:uiPriority w:val="99"/>
    <w:rsid w:val="004D700E"/>
  </w:style>
  <w:style w:type="paragraph" w:styleId="ab">
    <w:name w:val="Normal (Web)"/>
    <w:aliases w:val="¢ÑÌÐÕÌË (‰¾‡) ‚Õÿ¬ ‚Õÿ¬,‚Õÿ¬1 ‚Õÿ¬ ‚Õÿ¬1,‚Õÿ¬1 ‚Õÿ¬1,‚Õÿ¬1 ‚Õÿ¬ ‚Õÿ¬ ‚Õÿ¬ ‚Õÿ¬ ‚Õÿ¬ ‚Õÿ¬ ‚Õÿ¬ ‚Õÿ¬,‚Õÿ¬1 ‚Õÿâ âÕÿ¬ ‚Õ¤¬ ‚Õÿ¬,‚Õÿ¬ ‚Õÿ¬,ë‡ÌÐÕÌË (‰¾‡) ‚Õÿ¬2 ‚Õÿ¬,ë‡ÌÐÕÌË (‰¾‡) ‚Õÿ¬1 ‚Õÿђ ‚Õÿ¬,ë‡ÌÐÕÌË (‰¾‡) ‚Õÿ¬ ‚Õÿ¬ âÕÿ‚ âÕÿ¬,‚Õÿ¬1 ‚Õÿ¬"/>
    <w:basedOn w:val="a"/>
    <w:link w:val="ac"/>
    <w:uiPriority w:val="99"/>
    <w:rsid w:val="008F4A32"/>
    <w:pPr>
      <w:spacing w:before="100" w:beforeAutospacing="1" w:after="100" w:afterAutospacing="1" w:line="240" w:lineRule="auto"/>
    </w:pPr>
    <w:rPr>
      <w:rFonts w:ascii="Times New Roman" w:hAnsi="Times New Roman"/>
      <w:sz w:val="24"/>
      <w:szCs w:val="20"/>
      <w:lang w:val="ru-RU" w:eastAsia="ru-RU"/>
    </w:rPr>
  </w:style>
  <w:style w:type="character" w:customStyle="1" w:styleId="ac">
    <w:name w:val="Звичайний (веб) Знак"/>
    <w:aliases w:val="¢ÑÌÐÕÌË (‰¾‡) ‚Õÿ¬ ‚Õÿ¬ Знак,‚Õÿ¬1 ‚Õÿ¬ ‚Õÿ¬1 Знак,‚Õÿ¬1 ‚Õÿ¬1 Знак,‚Õÿ¬1 ‚Õÿ¬ ‚Õÿ¬ ‚Õÿ¬ ‚Õÿ¬ ‚Õÿ¬ ‚Õÿ¬ ‚Õÿ¬ ‚Õÿ¬ Знак,‚Õÿ¬1 ‚Õÿâ âÕÿ¬ ‚Õ¤¬ ‚Õÿ¬ Знак,‚Õÿ¬ ‚Õÿ¬ Знак,ë‡ÌÐÕÌË (‰¾‡) ‚Õÿ¬2 ‚Õÿ¬ Знак,ë‡ÌÐÕÌË (‰¾‡) ‚Õÿ¬1 ‚Õÿђ ‚Õÿ¬ Знак"/>
    <w:link w:val="ab"/>
    <w:uiPriority w:val="99"/>
    <w:locked/>
    <w:rsid w:val="008F4A32"/>
    <w:rPr>
      <w:sz w:val="24"/>
      <w:lang w:val="ru-RU" w:eastAsia="ru-RU"/>
    </w:rPr>
  </w:style>
  <w:style w:type="paragraph" w:customStyle="1" w:styleId="ad">
    <w:name w:val="Нормальний текст"/>
    <w:basedOn w:val="a"/>
    <w:link w:val="ae"/>
    <w:rsid w:val="007C263A"/>
    <w:pPr>
      <w:spacing w:before="120" w:after="0" w:line="240" w:lineRule="auto"/>
      <w:ind w:firstLine="567"/>
      <w:jc w:val="both"/>
    </w:pPr>
    <w:rPr>
      <w:rFonts w:ascii="Antiqua" w:hAnsi="Antiqua"/>
      <w:sz w:val="26"/>
      <w:szCs w:val="20"/>
      <w:lang w:eastAsia="ru-RU"/>
    </w:rPr>
  </w:style>
  <w:style w:type="character" w:customStyle="1" w:styleId="ae">
    <w:name w:val="Нормальний текст Знак"/>
    <w:link w:val="ad"/>
    <w:locked/>
    <w:rsid w:val="007C263A"/>
    <w:rPr>
      <w:rFonts w:ascii="Antiqua" w:hAnsi="Antiqua"/>
      <w:sz w:val="20"/>
      <w:lang w:val="x-none" w:eastAsia="ru-RU"/>
    </w:rPr>
  </w:style>
  <w:style w:type="character" w:customStyle="1" w:styleId="st96">
    <w:name w:val="st96"/>
    <w:uiPriority w:val="99"/>
    <w:rsid w:val="00BA03C1"/>
    <w:rPr>
      <w:rFonts w:ascii="Times New Roman" w:hAnsi="Times New Roman"/>
      <w:color w:val="0000F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9259791">
      <w:marLeft w:val="0"/>
      <w:marRight w:val="0"/>
      <w:marTop w:val="0"/>
      <w:marBottom w:val="0"/>
      <w:divBdr>
        <w:top w:val="none" w:sz="0" w:space="0" w:color="auto"/>
        <w:left w:val="none" w:sz="0" w:space="0" w:color="auto"/>
        <w:bottom w:val="none" w:sz="0" w:space="0" w:color="auto"/>
        <w:right w:val="none" w:sz="0" w:space="0" w:color="auto"/>
      </w:divBdr>
    </w:div>
    <w:div w:id="1659259792">
      <w:marLeft w:val="0"/>
      <w:marRight w:val="0"/>
      <w:marTop w:val="0"/>
      <w:marBottom w:val="0"/>
      <w:divBdr>
        <w:top w:val="none" w:sz="0" w:space="0" w:color="auto"/>
        <w:left w:val="none" w:sz="0" w:space="0" w:color="auto"/>
        <w:bottom w:val="none" w:sz="0" w:space="0" w:color="auto"/>
        <w:right w:val="none" w:sz="0" w:space="0" w:color="auto"/>
      </w:divBdr>
    </w:div>
    <w:div w:id="1659259793">
      <w:marLeft w:val="0"/>
      <w:marRight w:val="0"/>
      <w:marTop w:val="0"/>
      <w:marBottom w:val="0"/>
      <w:divBdr>
        <w:top w:val="none" w:sz="0" w:space="0" w:color="auto"/>
        <w:left w:val="none" w:sz="0" w:space="0" w:color="auto"/>
        <w:bottom w:val="none" w:sz="0" w:space="0" w:color="auto"/>
        <w:right w:val="none" w:sz="0" w:space="0" w:color="auto"/>
      </w:divBdr>
    </w:div>
    <w:div w:id="1659259794">
      <w:marLeft w:val="0"/>
      <w:marRight w:val="0"/>
      <w:marTop w:val="0"/>
      <w:marBottom w:val="0"/>
      <w:divBdr>
        <w:top w:val="none" w:sz="0" w:space="0" w:color="auto"/>
        <w:left w:val="none" w:sz="0" w:space="0" w:color="auto"/>
        <w:bottom w:val="none" w:sz="0" w:space="0" w:color="auto"/>
        <w:right w:val="none" w:sz="0" w:space="0" w:color="auto"/>
      </w:divBdr>
    </w:div>
    <w:div w:id="1659259795">
      <w:marLeft w:val="0"/>
      <w:marRight w:val="0"/>
      <w:marTop w:val="0"/>
      <w:marBottom w:val="0"/>
      <w:divBdr>
        <w:top w:val="none" w:sz="0" w:space="0" w:color="auto"/>
        <w:left w:val="none" w:sz="0" w:space="0" w:color="auto"/>
        <w:bottom w:val="none" w:sz="0" w:space="0" w:color="auto"/>
        <w:right w:val="none" w:sz="0" w:space="0" w:color="auto"/>
      </w:divBdr>
    </w:div>
    <w:div w:id="1659259796">
      <w:marLeft w:val="0"/>
      <w:marRight w:val="0"/>
      <w:marTop w:val="0"/>
      <w:marBottom w:val="0"/>
      <w:divBdr>
        <w:top w:val="none" w:sz="0" w:space="0" w:color="auto"/>
        <w:left w:val="none" w:sz="0" w:space="0" w:color="auto"/>
        <w:bottom w:val="none" w:sz="0" w:space="0" w:color="auto"/>
        <w:right w:val="none" w:sz="0" w:space="0" w:color="auto"/>
      </w:divBdr>
    </w:div>
    <w:div w:id="1659259797">
      <w:marLeft w:val="0"/>
      <w:marRight w:val="0"/>
      <w:marTop w:val="0"/>
      <w:marBottom w:val="0"/>
      <w:divBdr>
        <w:top w:val="none" w:sz="0" w:space="0" w:color="auto"/>
        <w:left w:val="none" w:sz="0" w:space="0" w:color="auto"/>
        <w:bottom w:val="none" w:sz="0" w:space="0" w:color="auto"/>
        <w:right w:val="none" w:sz="0" w:space="0" w:color="auto"/>
      </w:divBdr>
    </w:div>
    <w:div w:id="1659259798">
      <w:marLeft w:val="0"/>
      <w:marRight w:val="0"/>
      <w:marTop w:val="0"/>
      <w:marBottom w:val="0"/>
      <w:divBdr>
        <w:top w:val="none" w:sz="0" w:space="0" w:color="auto"/>
        <w:left w:val="none" w:sz="0" w:space="0" w:color="auto"/>
        <w:bottom w:val="none" w:sz="0" w:space="0" w:color="auto"/>
        <w:right w:val="none" w:sz="0" w:space="0" w:color="auto"/>
      </w:divBdr>
    </w:div>
    <w:div w:id="1659259799">
      <w:marLeft w:val="0"/>
      <w:marRight w:val="0"/>
      <w:marTop w:val="0"/>
      <w:marBottom w:val="0"/>
      <w:divBdr>
        <w:top w:val="none" w:sz="0" w:space="0" w:color="auto"/>
        <w:left w:val="none" w:sz="0" w:space="0" w:color="auto"/>
        <w:bottom w:val="none" w:sz="0" w:space="0" w:color="auto"/>
        <w:right w:val="none" w:sz="0" w:space="0" w:color="auto"/>
      </w:divBdr>
    </w:div>
    <w:div w:id="1659259800">
      <w:marLeft w:val="0"/>
      <w:marRight w:val="0"/>
      <w:marTop w:val="0"/>
      <w:marBottom w:val="0"/>
      <w:divBdr>
        <w:top w:val="none" w:sz="0" w:space="0" w:color="auto"/>
        <w:left w:val="none" w:sz="0" w:space="0" w:color="auto"/>
        <w:bottom w:val="none" w:sz="0" w:space="0" w:color="auto"/>
        <w:right w:val="none" w:sz="0" w:space="0" w:color="auto"/>
      </w:divBdr>
    </w:div>
    <w:div w:id="1659259801">
      <w:marLeft w:val="0"/>
      <w:marRight w:val="0"/>
      <w:marTop w:val="0"/>
      <w:marBottom w:val="0"/>
      <w:divBdr>
        <w:top w:val="none" w:sz="0" w:space="0" w:color="auto"/>
        <w:left w:val="none" w:sz="0" w:space="0" w:color="auto"/>
        <w:bottom w:val="none" w:sz="0" w:space="0" w:color="auto"/>
        <w:right w:val="none" w:sz="0" w:space="0" w:color="auto"/>
      </w:divBdr>
    </w:div>
    <w:div w:id="1659259802">
      <w:marLeft w:val="0"/>
      <w:marRight w:val="0"/>
      <w:marTop w:val="0"/>
      <w:marBottom w:val="0"/>
      <w:divBdr>
        <w:top w:val="none" w:sz="0" w:space="0" w:color="auto"/>
        <w:left w:val="none" w:sz="0" w:space="0" w:color="auto"/>
        <w:bottom w:val="none" w:sz="0" w:space="0" w:color="auto"/>
        <w:right w:val="none" w:sz="0" w:space="0" w:color="auto"/>
      </w:divBdr>
    </w:div>
    <w:div w:id="1659259803">
      <w:marLeft w:val="0"/>
      <w:marRight w:val="0"/>
      <w:marTop w:val="0"/>
      <w:marBottom w:val="0"/>
      <w:divBdr>
        <w:top w:val="none" w:sz="0" w:space="0" w:color="auto"/>
        <w:left w:val="none" w:sz="0" w:space="0" w:color="auto"/>
        <w:bottom w:val="none" w:sz="0" w:space="0" w:color="auto"/>
        <w:right w:val="none" w:sz="0" w:space="0" w:color="auto"/>
      </w:divBdr>
    </w:div>
    <w:div w:id="16592598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10751</Words>
  <Characters>6129</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ПРОЕКТ</vt:lpstr>
    </vt:vector>
  </TitlesOfParts>
  <Company>SPecialiST RePack</Company>
  <LinksUpToDate>false</LinksUpToDate>
  <CharactersWithSpaces>16847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Zhurzhii</dc:creator>
  <cp:keywords/>
  <dc:description/>
  <cp:lastModifiedBy>Тарасов Олег Сергійович</cp:lastModifiedBy>
  <cp:revision>2</cp:revision>
  <cp:lastPrinted>2020-03-17T07:47:00Z</cp:lastPrinted>
  <dcterms:created xsi:type="dcterms:W3CDTF">2020-03-17T10:18:00Z</dcterms:created>
  <dcterms:modified xsi:type="dcterms:W3CDTF">2020-03-17T10:18:00Z</dcterms:modified>
</cp:coreProperties>
</file>