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281E" w:rsidRDefault="0054281E">
      <w:pPr>
        <w:jc w:val="center"/>
        <w:rPr>
          <w:rFonts w:eastAsia="MS Mincho"/>
          <w:b/>
          <w:sz w:val="28"/>
          <w:szCs w:val="28"/>
        </w:rPr>
      </w:pPr>
      <w:bookmarkStart w:id="0" w:name="_GoBack"/>
      <w:bookmarkEnd w:id="0"/>
      <w:r>
        <w:rPr>
          <w:rFonts w:eastAsia="MS Mincho"/>
          <w:b/>
          <w:sz w:val="28"/>
          <w:szCs w:val="28"/>
        </w:rPr>
        <w:t>Порівняльна таблиця</w:t>
      </w:r>
    </w:p>
    <w:p w:rsidR="005C6CA8" w:rsidRDefault="005C6CA8">
      <w:pPr>
        <w:jc w:val="center"/>
        <w:rPr>
          <w:b/>
          <w:sz w:val="28"/>
          <w:szCs w:val="28"/>
        </w:rPr>
      </w:pPr>
    </w:p>
    <w:p w:rsidR="0054281E" w:rsidRDefault="0054281E">
      <w:pPr>
        <w:jc w:val="center"/>
        <w:rPr>
          <w:b/>
          <w:sz w:val="28"/>
          <w:szCs w:val="28"/>
        </w:rPr>
      </w:pPr>
      <w:r>
        <w:rPr>
          <w:b/>
          <w:sz w:val="28"/>
          <w:szCs w:val="28"/>
        </w:rPr>
        <w:t xml:space="preserve">до проекту Закону України </w:t>
      </w:r>
    </w:p>
    <w:p w:rsidR="0054281E" w:rsidRDefault="0054281E">
      <w:pPr>
        <w:jc w:val="center"/>
        <w:rPr>
          <w:b/>
          <w:sz w:val="28"/>
          <w:szCs w:val="28"/>
        </w:rPr>
      </w:pPr>
      <w:r>
        <w:rPr>
          <w:b/>
          <w:sz w:val="28"/>
          <w:szCs w:val="28"/>
        </w:rPr>
        <w:t xml:space="preserve">«Про </w:t>
      </w:r>
      <w:r>
        <w:rPr>
          <w:b/>
          <w:sz w:val="28"/>
          <w:szCs w:val="28"/>
          <w:lang w:val="uk-UA" w:eastAsia="ar-SA" w:bidi="ar-SA"/>
        </w:rPr>
        <w:t>внесення змін до законодавчих актів України щодо удосконалення деяких механізмів регулювання банківської діяльності</w:t>
      </w:r>
      <w:r>
        <w:rPr>
          <w:b/>
          <w:sz w:val="28"/>
          <w:szCs w:val="28"/>
        </w:rPr>
        <w:t>»</w:t>
      </w:r>
    </w:p>
    <w:p w:rsidR="0054281E" w:rsidRDefault="0054281E">
      <w:pPr>
        <w:jc w:val="center"/>
        <w:rPr>
          <w:b/>
          <w:sz w:val="28"/>
          <w:szCs w:val="28"/>
        </w:rPr>
      </w:pPr>
    </w:p>
    <w:p w:rsidR="005C6CA8" w:rsidRDefault="005C6CA8">
      <w:pPr>
        <w:jc w:val="center"/>
        <w:rPr>
          <w:b/>
          <w:sz w:val="28"/>
          <w:szCs w:val="28"/>
        </w:rPr>
      </w:pPr>
    </w:p>
    <w:tbl>
      <w:tblPr>
        <w:tblW w:w="15737" w:type="dxa"/>
        <w:tblInd w:w="-45" w:type="dxa"/>
        <w:tblLayout w:type="fixed"/>
        <w:tblLook w:val="0000" w:firstRow="0" w:lastRow="0" w:firstColumn="0" w:lastColumn="0" w:noHBand="0" w:noVBand="0"/>
      </w:tblPr>
      <w:tblGrid>
        <w:gridCol w:w="737"/>
        <w:gridCol w:w="7455"/>
        <w:gridCol w:w="30"/>
        <w:gridCol w:w="7515"/>
      </w:tblGrid>
      <w:tr w:rsidR="005C6CA8" w:rsidTr="005C6CA8">
        <w:tc>
          <w:tcPr>
            <w:tcW w:w="737" w:type="dxa"/>
            <w:tcBorders>
              <w:top w:val="single" w:sz="4" w:space="0" w:color="000000"/>
              <w:left w:val="single" w:sz="4" w:space="0" w:color="000000"/>
              <w:bottom w:val="single" w:sz="4" w:space="0" w:color="000000"/>
            </w:tcBorders>
            <w:shd w:val="clear" w:color="auto" w:fill="auto"/>
          </w:tcPr>
          <w:p w:rsidR="005C6CA8" w:rsidRDefault="005C6CA8" w:rsidP="0054281E">
            <w:pPr>
              <w:snapToGrid w:val="0"/>
              <w:ind w:left="270"/>
            </w:pPr>
          </w:p>
        </w:tc>
        <w:tc>
          <w:tcPr>
            <w:tcW w:w="7455" w:type="dxa"/>
            <w:tcBorders>
              <w:top w:val="single" w:sz="4" w:space="0" w:color="000000"/>
              <w:left w:val="single" w:sz="4" w:space="0" w:color="000000"/>
              <w:bottom w:val="single" w:sz="4" w:space="0" w:color="000000"/>
            </w:tcBorders>
            <w:shd w:val="clear" w:color="auto" w:fill="auto"/>
          </w:tcPr>
          <w:p w:rsidR="005C6CA8" w:rsidRDefault="005C6CA8" w:rsidP="0054281E">
            <w:pPr>
              <w:ind w:firstLine="132"/>
              <w:jc w:val="center"/>
              <w:rPr>
                <w:b/>
                <w:sz w:val="28"/>
                <w:szCs w:val="28"/>
                <w:lang w:val="uk-UA" w:eastAsia="ar-SA" w:bidi="ar-SA"/>
              </w:rPr>
            </w:pPr>
            <w:r>
              <w:rPr>
                <w:b/>
                <w:sz w:val="28"/>
                <w:szCs w:val="28"/>
                <w:lang w:val="uk-UA" w:eastAsia="ar-SA" w:bidi="ar-SA"/>
              </w:rPr>
              <w:t>Чинна редакція</w:t>
            </w:r>
          </w:p>
        </w:tc>
        <w:tc>
          <w:tcPr>
            <w:tcW w:w="7545" w:type="dxa"/>
            <w:gridSpan w:val="2"/>
            <w:tcBorders>
              <w:top w:val="single" w:sz="4" w:space="0" w:color="000000"/>
              <w:left w:val="single" w:sz="4" w:space="0" w:color="000000"/>
              <w:bottom w:val="single" w:sz="4" w:space="0" w:color="000000"/>
              <w:right w:val="single" w:sz="4" w:space="0" w:color="000000"/>
            </w:tcBorders>
            <w:shd w:val="clear" w:color="auto" w:fill="auto"/>
          </w:tcPr>
          <w:p w:rsidR="005C6CA8" w:rsidRDefault="005C6CA8" w:rsidP="0054281E">
            <w:pPr>
              <w:ind w:firstLine="132"/>
              <w:jc w:val="center"/>
              <w:rPr>
                <w:b/>
                <w:sz w:val="28"/>
                <w:szCs w:val="28"/>
                <w:lang w:val="uk-UA" w:eastAsia="ar-SA" w:bidi="ar-SA"/>
              </w:rPr>
            </w:pPr>
            <w:r>
              <w:rPr>
                <w:b/>
                <w:sz w:val="28"/>
                <w:szCs w:val="28"/>
                <w:lang w:val="uk-UA" w:eastAsia="ar-SA" w:bidi="ar-SA"/>
              </w:rPr>
              <w:t>Редакція з урахуванням пропонованих змін</w:t>
            </w:r>
          </w:p>
          <w:p w:rsidR="005C6CA8" w:rsidRDefault="005C6CA8" w:rsidP="0054281E">
            <w:pPr>
              <w:ind w:firstLine="132"/>
              <w:jc w:val="center"/>
              <w:rPr>
                <w:b/>
                <w:sz w:val="28"/>
                <w:szCs w:val="28"/>
                <w:lang w:val="uk-UA" w:eastAsia="ar-SA" w:bidi="ar-SA"/>
              </w:rPr>
            </w:pPr>
          </w:p>
        </w:tc>
      </w:tr>
      <w:tr w:rsidR="005C6CA8" w:rsidTr="005C6CA8">
        <w:tc>
          <w:tcPr>
            <w:tcW w:w="737" w:type="dxa"/>
            <w:tcBorders>
              <w:left w:val="single" w:sz="4" w:space="0" w:color="000000"/>
              <w:bottom w:val="single" w:sz="4" w:space="0" w:color="000000"/>
            </w:tcBorders>
            <w:shd w:val="clear" w:color="auto" w:fill="auto"/>
          </w:tcPr>
          <w:p w:rsidR="005C6CA8" w:rsidRDefault="005C6CA8" w:rsidP="0054281E">
            <w:pPr>
              <w:snapToGrid w:val="0"/>
              <w:ind w:left="270"/>
            </w:pPr>
          </w:p>
        </w:tc>
        <w:tc>
          <w:tcPr>
            <w:tcW w:w="15000" w:type="dxa"/>
            <w:gridSpan w:val="3"/>
            <w:tcBorders>
              <w:left w:val="single" w:sz="4" w:space="0" w:color="000000"/>
              <w:bottom w:val="single" w:sz="4" w:space="0" w:color="000000"/>
              <w:right w:val="single" w:sz="4" w:space="0" w:color="000000"/>
            </w:tcBorders>
            <w:shd w:val="clear" w:color="auto" w:fill="auto"/>
          </w:tcPr>
          <w:p w:rsidR="005C6CA8" w:rsidRDefault="005C6CA8" w:rsidP="0054281E">
            <w:pPr>
              <w:snapToGrid w:val="0"/>
              <w:ind w:firstLine="309"/>
              <w:jc w:val="center"/>
              <w:rPr>
                <w:b/>
                <w:sz w:val="28"/>
                <w:szCs w:val="28"/>
                <w:lang w:val="uk-UA" w:eastAsia="ar-SA" w:bidi="ar-SA"/>
              </w:rPr>
            </w:pPr>
          </w:p>
          <w:p w:rsidR="005C6CA8" w:rsidRDefault="005C6CA8" w:rsidP="0054281E">
            <w:pPr>
              <w:ind w:firstLine="309"/>
              <w:jc w:val="center"/>
              <w:rPr>
                <w:b/>
                <w:sz w:val="28"/>
                <w:szCs w:val="28"/>
                <w:lang w:val="uk-UA" w:eastAsia="ar-SA" w:bidi="ar-SA"/>
              </w:rPr>
            </w:pPr>
            <w:r>
              <w:rPr>
                <w:b/>
                <w:sz w:val="28"/>
                <w:szCs w:val="28"/>
                <w:lang w:val="uk-UA" w:eastAsia="ar-SA" w:bidi="ar-SA"/>
              </w:rPr>
              <w:t>Кодекс адміністративного судочинства України</w:t>
            </w:r>
          </w:p>
          <w:p w:rsidR="005C6CA8" w:rsidRDefault="005C6CA8" w:rsidP="0054281E">
            <w:pPr>
              <w:ind w:firstLine="309"/>
              <w:jc w:val="center"/>
              <w:rPr>
                <w:b/>
                <w:sz w:val="28"/>
                <w:szCs w:val="28"/>
                <w:lang w:val="uk-UA" w:eastAsia="ar-SA" w:bidi="ar-SA"/>
              </w:rPr>
            </w:pPr>
          </w:p>
        </w:tc>
      </w:tr>
      <w:tr w:rsidR="005C6CA8" w:rsidTr="005C6CA8">
        <w:tc>
          <w:tcPr>
            <w:tcW w:w="737" w:type="dxa"/>
            <w:tcBorders>
              <w:left w:val="single" w:sz="4" w:space="0" w:color="000000"/>
              <w:bottom w:val="single" w:sz="4" w:space="0" w:color="000000"/>
            </w:tcBorders>
            <w:shd w:val="clear" w:color="auto" w:fill="auto"/>
          </w:tcPr>
          <w:p w:rsidR="005C6CA8" w:rsidRPr="005C6CA8" w:rsidRDefault="005C6CA8" w:rsidP="0054281E">
            <w:pPr>
              <w:snapToGrid w:val="0"/>
              <w:ind w:left="270"/>
              <w:rPr>
                <w:b/>
                <w:bCs/>
                <w:sz w:val="28"/>
                <w:szCs w:val="28"/>
                <w:lang w:val="en-US" w:eastAsia="ar-SA" w:bidi="ar-SA"/>
              </w:rPr>
            </w:pPr>
            <w:r>
              <w:rPr>
                <w:b/>
                <w:bCs/>
                <w:sz w:val="28"/>
                <w:szCs w:val="28"/>
                <w:lang w:val="en-US" w:eastAsia="ar-SA" w:bidi="ar-SA"/>
              </w:rPr>
              <w:t>1</w:t>
            </w:r>
          </w:p>
        </w:tc>
        <w:tc>
          <w:tcPr>
            <w:tcW w:w="7485" w:type="dxa"/>
            <w:gridSpan w:val="2"/>
            <w:tcBorders>
              <w:left w:val="single" w:sz="4" w:space="0" w:color="000000"/>
              <w:bottom w:val="single" w:sz="4" w:space="0" w:color="000000"/>
            </w:tcBorders>
            <w:shd w:val="clear" w:color="auto" w:fill="auto"/>
          </w:tcPr>
          <w:p w:rsidR="005C6CA8" w:rsidRDefault="005C6CA8" w:rsidP="0054281E">
            <w:pPr>
              <w:shd w:val="clear" w:color="auto" w:fill="FFFFFF"/>
              <w:ind w:firstLine="309"/>
              <w:jc w:val="both"/>
              <w:rPr>
                <w:b/>
                <w:sz w:val="28"/>
                <w:szCs w:val="28"/>
                <w:lang w:val="uk-UA" w:eastAsia="ar-SA" w:bidi="ar-SA"/>
              </w:rPr>
            </w:pPr>
            <w:r>
              <w:rPr>
                <w:b/>
                <w:bCs/>
                <w:sz w:val="28"/>
                <w:szCs w:val="28"/>
                <w:lang w:val="uk-UA" w:eastAsia="ar-SA" w:bidi="ar-SA"/>
              </w:rPr>
              <w:t>Відсутня</w:t>
            </w:r>
          </w:p>
        </w:tc>
        <w:tc>
          <w:tcPr>
            <w:tcW w:w="7515" w:type="dxa"/>
            <w:tcBorders>
              <w:left w:val="single" w:sz="4" w:space="0" w:color="000000"/>
              <w:bottom w:val="single" w:sz="4" w:space="0" w:color="000000"/>
              <w:right w:val="single" w:sz="4" w:space="0" w:color="000000"/>
            </w:tcBorders>
            <w:shd w:val="clear" w:color="auto" w:fill="auto"/>
          </w:tcPr>
          <w:p w:rsidR="005C6CA8" w:rsidRDefault="005C6CA8" w:rsidP="0054281E">
            <w:pPr>
              <w:shd w:val="clear" w:color="auto" w:fill="FFFFFF"/>
              <w:ind w:firstLine="450"/>
              <w:jc w:val="both"/>
              <w:rPr>
                <w:b/>
                <w:sz w:val="28"/>
                <w:szCs w:val="28"/>
                <w:lang w:val="uk-UA" w:eastAsia="ar-SA" w:bidi="ar-SA"/>
              </w:rPr>
            </w:pPr>
            <w:r>
              <w:rPr>
                <w:b/>
                <w:sz w:val="28"/>
                <w:szCs w:val="28"/>
                <w:lang w:val="uk-UA" w:eastAsia="ar-SA" w:bidi="ar-SA"/>
              </w:rPr>
              <w:t>Стаття 266</w:t>
            </w:r>
            <w:r>
              <w:rPr>
                <w:b/>
                <w:sz w:val="28"/>
                <w:szCs w:val="28"/>
                <w:vertAlign w:val="superscript"/>
                <w:lang w:val="uk-UA" w:eastAsia="ar-SA" w:bidi="ar-SA"/>
              </w:rPr>
              <w:t>1</w:t>
            </w:r>
            <w:r>
              <w:rPr>
                <w:b/>
                <w:sz w:val="28"/>
                <w:szCs w:val="28"/>
                <w:lang w:val="uk-UA" w:eastAsia="ar-SA" w:bidi="ar-SA"/>
              </w:rPr>
              <w:t xml:space="preserve">. Особливості провадження у справах щодо оскарження індивідуальних актів Національного банку України,  </w:t>
            </w:r>
            <w:r>
              <w:rPr>
                <w:b/>
                <w:bCs/>
                <w:sz w:val="28"/>
                <w:szCs w:val="28"/>
                <w:lang w:val="uk-UA" w:eastAsia="ar-SA" w:bidi="ar-SA"/>
              </w:rPr>
              <w:t>Фонду гарантування вкладів фізичних осіб, Міністерства фінансів України, Національної комісії з цінних паперів та фондового ринку та рішень Кабінету Міністрів України стосовно виведення банків з ринку</w:t>
            </w:r>
          </w:p>
          <w:p w:rsidR="005C6CA8" w:rsidRDefault="005C6CA8" w:rsidP="0054281E">
            <w:pPr>
              <w:shd w:val="clear" w:color="auto" w:fill="FFFFFF"/>
              <w:ind w:firstLine="450"/>
              <w:jc w:val="both"/>
              <w:rPr>
                <w:b/>
                <w:sz w:val="28"/>
                <w:szCs w:val="28"/>
                <w:lang w:val="uk-UA" w:eastAsia="ar-SA" w:bidi="ar-SA"/>
              </w:rPr>
            </w:pP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1. Правила цієї статті поширюються на розгляд адміністративних справ щодо:  </w:t>
            </w: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1) законності індивідуальних актів Національного банку України про віднесення банку до категорії неплатоспроможних, про відкликання у банку банківської ліцензії та ліквідацію банку, про затвердження пропозиції Національного банку України про участь держави у виведенні неплатоспроможного банку з ринку;  </w:t>
            </w: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2) законності індивідуальних актів Фонду гарантування вкладів фізичних осіб про запровадження тимчасової адміністрації у банку, про початок процедури </w:t>
            </w:r>
            <w:r>
              <w:rPr>
                <w:b/>
                <w:bCs/>
                <w:sz w:val="28"/>
                <w:szCs w:val="28"/>
                <w:lang w:val="uk-UA" w:eastAsia="ar-SA" w:bidi="ar-SA"/>
              </w:rPr>
              <w:lastRenderedPageBreak/>
              <w:t xml:space="preserve">ліквідації банку, про затвердження плану врегулювання та будь-яких інших індивідуальних актів, прийнятих на його виконання, а також індивідуальних актів щодо призначення уповноважених осіб Фонду гарантування вкладів фізичних осіб, делегування їм повноважень;  </w:t>
            </w: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3) законності рішень Кабінету Міністрів України про участь держави у виведенні неплатоспроможного банку з ринку;  </w:t>
            </w: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4) законності індивідуальних актів Міністерства фінансів України, прийнятих на виконання рішення Кабінету Міністрів України про участь держави у виведенні неплатоспроможного банку з ринку;  </w:t>
            </w: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5) законності індивідуальних актів Національної комісії з цінних паперів та фондового ринку, прийнятих у процесі виведення неплатоспроможного банку з ринку за участю держави.  </w:t>
            </w: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Правила цієї статті не поширюються на розгляд справ, що пов'язані з оскарженням рішень, актів або окремих їх положень, та/або будь-яких інших правочинів щодо визнання осіб пов’язаними, щодо проведення додаткової емісії акцій шляхом конвертації зобов’язань банку перед пов’язаними з банком особами в акції банку, щодо стягнення коштів за такими зобов’язаннями банку та інші повязані вимоги. </w:t>
            </w: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2. Право оскаржити індивідуальний акт або рішення, визначені частиною першою цієї статті, має банк, щодо якого застосовано такий акт/рішення, а також особи які володіли статусом учасника (учасників) цього банку.  </w:t>
            </w: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3. Позовна заява щодо оскарження індивідуального акта/рішення подається до суду протягом трьох місяців з </w:t>
            </w:r>
            <w:r>
              <w:rPr>
                <w:b/>
                <w:bCs/>
                <w:sz w:val="28"/>
                <w:szCs w:val="28"/>
                <w:lang w:val="uk-UA" w:eastAsia="ar-SA" w:bidi="ar-SA"/>
              </w:rPr>
              <w:lastRenderedPageBreak/>
              <w:t xml:space="preserve">дня його оприлюднення в порядку, визначеному законом. </w:t>
            </w: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4. Подання позовної заяви, а також відкриття провадження в адміністративній справі не зупиняють дію оскаржуваного індивідуального акта/рішення.  </w:t>
            </w: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5. Адміністративні справи, зазначені у частині першій цієї статті, розглядаються у порядку загального позовного провадження.  </w:t>
            </w: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6. При розгляді адміністративних справ, зазначених у частині першій цієї статті, суд перевіряє, чи прийнятий індивідуальний акт або рішення на підставі, у межах повноважень і у спосіб, що передбачені Конституцією та законами України, які визначають повноваження Національного банку України, Фонду гарантування вкладів фізичних осіб, Національної комісії з цінних паперів та фондового ринку, Кабінету Міністрів України та Міністерства фінансів України.  </w:t>
            </w: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7. При розгляді адміністративних справ, зазначених у частині першій цієї статті, суд використовує як підставу для власної оцінки та покладається на кількісні, якісні оцінки та висновки, що були зроблені Національним банком України, Фондом гарантування вкладів фізичних осіб, Кабінетом Міністрів України, Міністерством фінансів України, Національної </w:t>
            </w: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комісії з цінних паперів та фондового ринку, на підставі яких були прийняті відповідні рішення, за виключенням випадків, якщо:  </w:t>
            </w: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1) кількісні, якісні оцінки та висновки ґрунтуються на очевидно помилкових відомостях та/ або не враховують суттєвих обставин (фактів), за умови врахування яких оскаржуване рішення не могло бути прийнято;  </w:t>
            </w:r>
          </w:p>
          <w:p w:rsidR="005C6CA8" w:rsidRDefault="005C6CA8" w:rsidP="0054281E">
            <w:pPr>
              <w:ind w:firstLine="283"/>
              <w:jc w:val="both"/>
              <w:rPr>
                <w:b/>
                <w:bCs/>
                <w:sz w:val="28"/>
                <w:szCs w:val="28"/>
                <w:lang w:val="uk-UA" w:eastAsia="ar-SA" w:bidi="ar-SA"/>
              </w:rPr>
            </w:pPr>
            <w:r>
              <w:rPr>
                <w:b/>
                <w:bCs/>
                <w:sz w:val="28"/>
                <w:szCs w:val="28"/>
                <w:lang w:val="uk-UA" w:eastAsia="ar-SA" w:bidi="ar-SA"/>
              </w:rPr>
              <w:lastRenderedPageBreak/>
              <w:t xml:space="preserve">2) наявні очевидні розбіжності та/або логічні протиріччя між кількісними, якісними оцінками та/або висновками;  </w:t>
            </w: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3) оскаржуване рішення прийнято за відсутності компетенції (повноважень).  </w:t>
            </w: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8. Суд за наслідками розгляду адміністративних справ, визначених частиною першою цієї статті, може задовольнити позов повністю або частково чи відмовити в його задоволенні повністю або частково. У разі задоволення позову суд може прийняти рішення про:  </w:t>
            </w: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1) визнання протиправним (незаконним) та скасування індивідуального акта Національного банку України або окремих його положень;  </w:t>
            </w: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2) визнання протиправним (незаконним) та скасування індивідуального акта Фонду гарантування вкладів фізичних осіб або окремих його положень;  </w:t>
            </w: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3) визнання протиправним (незаконним) та скасування рішення Кабінету Міністрів України або окремих його положень;  </w:t>
            </w: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4) визнання протиправним (незаконним) та скасування індивідуального акта Міністерства фінансів України або окремих його положень;  </w:t>
            </w: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5) визнання протиправним (незаконним) та скасування індивідуального акта Національної комісії з цінних паперів та фондового ринку або окремих його положень;  </w:t>
            </w: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6) прийняти одне з рішень, зазначених у пунктах 1-5 цієї частини, та про відшкодування на користь позивача шкоди (компенсації), заподіяної його протиправним (незаконним) індивідуальним актом, а також захистити </w:t>
            </w:r>
            <w:r>
              <w:rPr>
                <w:b/>
                <w:bCs/>
                <w:sz w:val="28"/>
                <w:szCs w:val="28"/>
                <w:lang w:val="uk-UA" w:eastAsia="ar-SA" w:bidi="ar-SA"/>
              </w:rPr>
              <w:lastRenderedPageBreak/>
              <w:t xml:space="preserve">порушені права позивача в інший спосіб, достатній для відновлення порушеного права; </w:t>
            </w: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7) прийняти інше рішення, необхідне для належного та ефективного поновлення прав та законних інтересів позивача, з урахуванням приписів частини 9 цієї статті (зокрема, але не виключно: про скасуванням інших актів, договорів та правочинів, пов’язаних з вищеперерахованими категоріями справ та задоволення інших позовних вимог). </w:t>
            </w: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9. Визнання протиправним (незаконним) та скасування індивідуального акта та/або рішення, зазначеного у частині першій цієї статті, або окремих його положень, в процесі виконання судового рішення: </w:t>
            </w: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1) не відновлює того становища банку, яке існувало до прийняття такого акта/рішення, включаючи відновлення правового статусу цього банку; </w:t>
            </w:r>
          </w:p>
          <w:p w:rsidR="005C6CA8" w:rsidRDefault="005C6CA8" w:rsidP="0054281E">
            <w:pPr>
              <w:ind w:firstLine="283"/>
              <w:jc w:val="both"/>
              <w:rPr>
                <w:b/>
                <w:bCs/>
                <w:sz w:val="28"/>
                <w:szCs w:val="28"/>
                <w:lang w:val="uk-UA" w:eastAsia="ar-SA" w:bidi="ar-SA"/>
              </w:rPr>
            </w:pPr>
            <w:r>
              <w:rPr>
                <w:b/>
                <w:bCs/>
                <w:sz w:val="28"/>
                <w:szCs w:val="28"/>
                <w:lang w:val="uk-UA" w:eastAsia="ar-SA" w:bidi="ar-SA"/>
              </w:rPr>
              <w:t xml:space="preserve">2) не поновлює в правах осіб, які були учасниками банку на момент віднесення банку до категорії неплатоспроможних, окрім права на відшкодування завданої шкоди (отримання компенсації).  </w:t>
            </w:r>
          </w:p>
          <w:p w:rsidR="005C6CA8" w:rsidRDefault="005C6CA8" w:rsidP="0054281E">
            <w:pPr>
              <w:shd w:val="clear" w:color="auto" w:fill="FFFFFF"/>
              <w:ind w:firstLine="283"/>
              <w:jc w:val="both"/>
              <w:rPr>
                <w:b/>
                <w:sz w:val="28"/>
                <w:szCs w:val="28"/>
                <w:lang w:val="uk-UA" w:eastAsia="ar-SA" w:bidi="ar-SA"/>
              </w:rPr>
            </w:pPr>
            <w:r>
              <w:rPr>
                <w:b/>
                <w:bCs/>
                <w:sz w:val="28"/>
                <w:szCs w:val="28"/>
                <w:lang w:val="uk-UA" w:eastAsia="ar-SA" w:bidi="ar-SA"/>
              </w:rPr>
              <w:t xml:space="preserve">Порядок виконання судових рішень у відповідній частині визначається статтею 54 Закону України «Про систему гарантування вкладів фізичних осіб», статтею 79 Закону України «Про банки і банківську діяльність». </w:t>
            </w:r>
          </w:p>
          <w:p w:rsidR="005C6CA8" w:rsidRDefault="005C6CA8" w:rsidP="0054281E">
            <w:pPr>
              <w:shd w:val="clear" w:color="auto" w:fill="FFFFFF"/>
              <w:ind w:firstLine="283"/>
              <w:jc w:val="both"/>
              <w:rPr>
                <w:b/>
                <w:sz w:val="28"/>
                <w:szCs w:val="28"/>
                <w:lang w:val="uk-UA" w:eastAsia="ar-SA" w:bidi="ar-SA"/>
              </w:rPr>
            </w:pPr>
          </w:p>
        </w:tc>
      </w:tr>
      <w:tr w:rsidR="0054281E" w:rsidTr="005C6CA8">
        <w:tc>
          <w:tcPr>
            <w:tcW w:w="737" w:type="dxa"/>
            <w:tcBorders>
              <w:top w:val="single" w:sz="4" w:space="0" w:color="000000"/>
              <w:left w:val="single" w:sz="4" w:space="0" w:color="000000"/>
              <w:bottom w:val="single" w:sz="4" w:space="0" w:color="000000"/>
            </w:tcBorders>
            <w:shd w:val="clear" w:color="auto" w:fill="auto"/>
          </w:tcPr>
          <w:p w:rsidR="0054281E" w:rsidRDefault="0054281E">
            <w:pPr>
              <w:snapToGrid w:val="0"/>
              <w:ind w:left="270"/>
            </w:pPr>
          </w:p>
        </w:tc>
        <w:tc>
          <w:tcPr>
            <w:tcW w:w="15000" w:type="dxa"/>
            <w:gridSpan w:val="3"/>
            <w:tcBorders>
              <w:top w:val="single" w:sz="4" w:space="0" w:color="000000"/>
              <w:left w:val="single" w:sz="4" w:space="0" w:color="000000"/>
              <w:bottom w:val="single" w:sz="4" w:space="0" w:color="000000"/>
              <w:right w:val="single" w:sz="4" w:space="0" w:color="000000"/>
            </w:tcBorders>
            <w:shd w:val="clear" w:color="auto" w:fill="auto"/>
          </w:tcPr>
          <w:p w:rsidR="0054281E" w:rsidRDefault="0054281E">
            <w:pPr>
              <w:snapToGrid w:val="0"/>
              <w:jc w:val="center"/>
              <w:rPr>
                <w:b/>
                <w:sz w:val="28"/>
                <w:szCs w:val="28"/>
                <w:lang w:val="uk-UA" w:eastAsia="ar-SA" w:bidi="ar-SA"/>
              </w:rPr>
            </w:pPr>
          </w:p>
          <w:p w:rsidR="0054281E" w:rsidRDefault="0054281E">
            <w:pPr>
              <w:jc w:val="center"/>
              <w:rPr>
                <w:b/>
                <w:sz w:val="28"/>
                <w:szCs w:val="28"/>
                <w:lang w:val="uk-UA" w:eastAsia="ar-SA" w:bidi="ar-SA"/>
              </w:rPr>
            </w:pPr>
            <w:r>
              <w:rPr>
                <w:b/>
                <w:sz w:val="28"/>
                <w:szCs w:val="28"/>
                <w:lang w:val="uk-UA" w:eastAsia="ar-SA" w:bidi="ar-SA"/>
              </w:rPr>
              <w:t>Закон України «Про банки і банківську діяльність»</w:t>
            </w:r>
          </w:p>
          <w:p w:rsidR="0054281E" w:rsidRDefault="0054281E">
            <w:pPr>
              <w:jc w:val="center"/>
              <w:rPr>
                <w:b/>
                <w:sz w:val="28"/>
                <w:szCs w:val="28"/>
                <w:lang w:val="uk-UA" w:eastAsia="ar-SA" w:bidi="ar-SA"/>
              </w:rPr>
            </w:pPr>
          </w:p>
        </w:tc>
      </w:tr>
      <w:tr w:rsidR="0054281E" w:rsidTr="005C6CA8">
        <w:tc>
          <w:tcPr>
            <w:tcW w:w="737" w:type="dxa"/>
            <w:tcBorders>
              <w:left w:val="single" w:sz="4" w:space="0" w:color="000000"/>
              <w:bottom w:val="single" w:sz="4" w:space="0" w:color="000000"/>
            </w:tcBorders>
            <w:shd w:val="clear" w:color="auto" w:fill="auto"/>
          </w:tcPr>
          <w:p w:rsidR="0054281E" w:rsidRPr="005C6CA8" w:rsidRDefault="005C6CA8">
            <w:pPr>
              <w:snapToGrid w:val="0"/>
              <w:ind w:left="270"/>
              <w:rPr>
                <w:rStyle w:val="rvts9"/>
                <w:b/>
                <w:bCs/>
                <w:sz w:val="28"/>
                <w:szCs w:val="28"/>
                <w:lang w:val="en-US" w:eastAsia="ar-SA" w:bidi="ar-SA"/>
              </w:rPr>
            </w:pPr>
            <w:r>
              <w:rPr>
                <w:rStyle w:val="rvts9"/>
                <w:b/>
                <w:bCs/>
                <w:sz w:val="28"/>
                <w:szCs w:val="28"/>
                <w:lang w:val="en-US" w:eastAsia="ar-SA" w:bidi="ar-SA"/>
              </w:rPr>
              <w:t>2</w:t>
            </w:r>
          </w:p>
        </w:tc>
        <w:tc>
          <w:tcPr>
            <w:tcW w:w="7485" w:type="dxa"/>
            <w:gridSpan w:val="2"/>
            <w:tcBorders>
              <w:left w:val="single" w:sz="4" w:space="0" w:color="000000"/>
              <w:bottom w:val="single" w:sz="4" w:space="0" w:color="000000"/>
            </w:tcBorders>
            <w:shd w:val="clear" w:color="auto" w:fill="auto"/>
          </w:tcPr>
          <w:p w:rsidR="0054281E" w:rsidRDefault="0054281E">
            <w:pPr>
              <w:pStyle w:val="rvps2"/>
              <w:shd w:val="clear" w:color="auto" w:fill="FFFFFF"/>
              <w:spacing w:before="0" w:after="0"/>
              <w:ind w:firstLine="309"/>
              <w:jc w:val="both"/>
              <w:rPr>
                <w:sz w:val="28"/>
                <w:szCs w:val="28"/>
                <w:lang w:val="uk-UA" w:eastAsia="ar-SA" w:bidi="ar-SA"/>
              </w:rPr>
            </w:pPr>
            <w:r w:rsidRPr="005C6CA8">
              <w:rPr>
                <w:rStyle w:val="rvts9"/>
                <w:bCs/>
                <w:sz w:val="28"/>
                <w:szCs w:val="28"/>
                <w:lang w:val="uk-UA" w:eastAsia="ar-SA" w:bidi="ar-SA"/>
              </w:rPr>
              <w:t>Стаття 79</w:t>
            </w:r>
            <w:r>
              <w:rPr>
                <w:rStyle w:val="rvts9"/>
                <w:b/>
                <w:bCs/>
                <w:sz w:val="28"/>
                <w:szCs w:val="28"/>
                <w:lang w:val="uk-UA" w:eastAsia="ar-SA" w:bidi="ar-SA"/>
              </w:rPr>
              <w:t>. </w:t>
            </w:r>
            <w:r>
              <w:rPr>
                <w:sz w:val="28"/>
                <w:szCs w:val="28"/>
                <w:lang w:val="uk-UA" w:eastAsia="ar-SA" w:bidi="ar-SA"/>
              </w:rPr>
              <w:t>Оскарження рішень Національного банку України</w:t>
            </w:r>
          </w:p>
          <w:p w:rsidR="0054281E" w:rsidRDefault="0054281E">
            <w:pPr>
              <w:pStyle w:val="rvps2"/>
              <w:shd w:val="clear" w:color="auto" w:fill="FFFFFF"/>
              <w:spacing w:before="0" w:after="0"/>
              <w:ind w:firstLine="309"/>
              <w:jc w:val="both"/>
              <w:rPr>
                <w:sz w:val="28"/>
                <w:szCs w:val="28"/>
                <w:lang w:val="uk-UA" w:eastAsia="ar-SA" w:bidi="ar-SA"/>
              </w:rPr>
            </w:pPr>
          </w:p>
          <w:p w:rsidR="0054281E" w:rsidRDefault="0054281E">
            <w:pPr>
              <w:pStyle w:val="rvps2"/>
              <w:shd w:val="clear" w:color="auto" w:fill="FFFFFF"/>
              <w:spacing w:before="0" w:after="0"/>
              <w:ind w:firstLine="309"/>
              <w:jc w:val="both"/>
              <w:rPr>
                <w:b/>
                <w:sz w:val="28"/>
                <w:szCs w:val="28"/>
                <w:lang w:val="uk-UA" w:eastAsia="ar-SA" w:bidi="ar-SA"/>
              </w:rPr>
            </w:pPr>
            <w:bookmarkStart w:id="1" w:name="n13521"/>
            <w:bookmarkEnd w:id="1"/>
            <w:r>
              <w:rPr>
                <w:sz w:val="28"/>
                <w:szCs w:val="28"/>
                <w:lang w:val="uk-UA" w:eastAsia="ar-SA" w:bidi="ar-SA"/>
              </w:rPr>
              <w:t>Банк або інші особи, які охоплюються наглядовою діяльністю Національного банку України, мають право оскаржити в суді в установленому законодавством порядку рішення, дії або бездіяльність Національного банку України чи його посадових осіб.</w:t>
            </w:r>
          </w:p>
          <w:p w:rsidR="0054281E" w:rsidRDefault="0054281E">
            <w:pPr>
              <w:ind w:firstLine="309"/>
              <w:jc w:val="both"/>
              <w:rPr>
                <w:b/>
                <w:sz w:val="28"/>
                <w:szCs w:val="28"/>
                <w:lang w:val="uk-UA" w:eastAsia="ar-SA" w:bidi="ar-SA"/>
              </w:rPr>
            </w:pPr>
          </w:p>
        </w:tc>
        <w:tc>
          <w:tcPr>
            <w:tcW w:w="7515" w:type="dxa"/>
            <w:tcBorders>
              <w:left w:val="single" w:sz="4" w:space="0" w:color="000000"/>
              <w:bottom w:val="single" w:sz="4" w:space="0" w:color="000000"/>
              <w:right w:val="single" w:sz="4" w:space="0" w:color="000000"/>
            </w:tcBorders>
            <w:shd w:val="clear" w:color="auto" w:fill="auto"/>
          </w:tcPr>
          <w:p w:rsidR="0054281E" w:rsidRDefault="0054281E">
            <w:pPr>
              <w:ind w:firstLine="283"/>
              <w:jc w:val="both"/>
              <w:rPr>
                <w:sz w:val="28"/>
                <w:szCs w:val="28"/>
                <w:lang w:val="uk-UA" w:eastAsia="ar-SA" w:bidi="ar-SA"/>
              </w:rPr>
            </w:pPr>
            <w:r w:rsidRPr="005C6CA8">
              <w:rPr>
                <w:bCs/>
                <w:sz w:val="28"/>
                <w:szCs w:val="28"/>
                <w:lang w:val="uk-UA" w:eastAsia="ar-SA" w:bidi="ar-SA"/>
              </w:rPr>
              <w:lastRenderedPageBreak/>
              <w:t>Стаття 79</w:t>
            </w:r>
            <w:r>
              <w:rPr>
                <w:b/>
                <w:bCs/>
                <w:sz w:val="28"/>
                <w:szCs w:val="28"/>
                <w:lang w:val="uk-UA" w:eastAsia="ar-SA" w:bidi="ar-SA"/>
              </w:rPr>
              <w:t xml:space="preserve">. </w:t>
            </w:r>
            <w:r>
              <w:rPr>
                <w:sz w:val="28"/>
                <w:szCs w:val="28"/>
                <w:lang w:val="uk-UA" w:eastAsia="ar-SA" w:bidi="ar-SA"/>
              </w:rPr>
              <w:t xml:space="preserve">Оскарження рішень Національного банку України  </w:t>
            </w:r>
          </w:p>
          <w:p w:rsidR="0054281E" w:rsidRDefault="0054281E">
            <w:pPr>
              <w:ind w:firstLine="283"/>
              <w:jc w:val="both"/>
              <w:rPr>
                <w:sz w:val="28"/>
                <w:szCs w:val="28"/>
                <w:lang w:val="uk-UA" w:eastAsia="ar-SA" w:bidi="ar-SA"/>
              </w:rPr>
            </w:pPr>
          </w:p>
          <w:p w:rsidR="0054281E" w:rsidRDefault="0054281E">
            <w:pPr>
              <w:ind w:firstLine="283"/>
              <w:jc w:val="both"/>
              <w:rPr>
                <w:b/>
                <w:bCs/>
                <w:sz w:val="28"/>
                <w:szCs w:val="28"/>
                <w:lang w:val="uk-UA" w:eastAsia="ar-SA" w:bidi="ar-SA"/>
              </w:rPr>
            </w:pPr>
            <w:r>
              <w:rPr>
                <w:sz w:val="28"/>
                <w:szCs w:val="28"/>
                <w:lang w:val="uk-UA" w:eastAsia="ar-SA" w:bidi="ar-SA"/>
              </w:rPr>
              <w:t xml:space="preserve">1.Банк або інші особи, які охоплюються наглядовою діяльністю Національного банку України, мають право оскаржити в суді в установленому законодавством порядку рішення, дії або бездіяльність Національного банку України чи його посадових </w:t>
            </w:r>
            <w:r>
              <w:rPr>
                <w:b/>
                <w:bCs/>
                <w:sz w:val="28"/>
                <w:szCs w:val="28"/>
                <w:lang w:val="uk-UA" w:eastAsia="ar-SA" w:bidi="ar-SA"/>
              </w:rPr>
              <w:t>та службових</w:t>
            </w:r>
            <w:r>
              <w:rPr>
                <w:sz w:val="28"/>
                <w:szCs w:val="28"/>
                <w:lang w:val="uk-UA" w:eastAsia="ar-SA" w:bidi="ar-SA"/>
              </w:rPr>
              <w:t xml:space="preserve"> осіб.  </w:t>
            </w:r>
          </w:p>
          <w:p w:rsidR="0054281E" w:rsidRDefault="0054281E">
            <w:pPr>
              <w:ind w:firstLine="283"/>
              <w:jc w:val="both"/>
              <w:rPr>
                <w:b/>
                <w:bCs/>
                <w:sz w:val="28"/>
                <w:szCs w:val="28"/>
                <w:lang w:val="uk-UA" w:eastAsia="ar-SA" w:bidi="ar-SA"/>
              </w:rPr>
            </w:pPr>
            <w:r>
              <w:rPr>
                <w:b/>
                <w:bCs/>
                <w:sz w:val="28"/>
                <w:szCs w:val="28"/>
                <w:lang w:val="uk-UA" w:eastAsia="ar-SA" w:bidi="ar-SA"/>
              </w:rPr>
              <w:t xml:space="preserve">2. Особливості оскарження рішень (індивідуальних актів) Національного банку України про віднесення банку до категорії неплатоспроможних, про відкликання у банку банківської ліцензії та ліквідацію банку встановлюються Кодексом адміністративного судочинства України.  </w:t>
            </w:r>
          </w:p>
          <w:p w:rsidR="0054281E" w:rsidRDefault="0054281E">
            <w:pPr>
              <w:ind w:firstLine="283"/>
              <w:jc w:val="both"/>
              <w:rPr>
                <w:b/>
                <w:bCs/>
                <w:sz w:val="28"/>
                <w:szCs w:val="28"/>
                <w:lang w:val="uk-UA" w:eastAsia="ar-SA" w:bidi="ar-SA"/>
              </w:rPr>
            </w:pPr>
            <w:r>
              <w:rPr>
                <w:b/>
                <w:bCs/>
                <w:sz w:val="28"/>
                <w:szCs w:val="28"/>
                <w:lang w:val="uk-UA" w:eastAsia="ar-SA" w:bidi="ar-SA"/>
              </w:rPr>
              <w:t xml:space="preserve">3. У випадку ухвалення судом рішення про повне або часткове задоволення позову про: визнання протиправним (незаконним) та скасування рішення (індивідуального акта) Національного банку України про віднесення банку до категорії неплатоспроможних та/або про відкликання банківської ліцензії та ліквідацію банку та/або про затвердження пропозиції Національного банку України про участь держави у виведенні неплатоспроможного банку з ринку та/або у разі визнання недійсними та/або протиправними (незаконними) та/або скасуванням інших актів, договорів та інших правочинів, пов’язаних з вищеперерахованими категоріями справ, та/або про визнання права власності на акції банку, та/або про повне або часткове задоволення позову у інших справах, пов’язаних з / похідними від вищеперерахованих, особи, які мали статус учасника банку, мають право на відшкодування шкоди (отримання компенсації) у </w:t>
            </w:r>
            <w:r>
              <w:rPr>
                <w:b/>
                <w:bCs/>
                <w:sz w:val="28"/>
                <w:szCs w:val="28"/>
                <w:lang w:val="uk-UA" w:eastAsia="ar-SA" w:bidi="ar-SA"/>
              </w:rPr>
              <w:lastRenderedPageBreak/>
              <w:t xml:space="preserve">порядку, встановленому законом, заподіяної таким протиправним (незаконним) рішенням, індивідуальним актом, дією, бездіяльністю, правочином тощо.  </w:t>
            </w:r>
          </w:p>
          <w:p w:rsidR="0054281E" w:rsidRDefault="0054281E">
            <w:pPr>
              <w:ind w:firstLine="283"/>
              <w:jc w:val="both"/>
              <w:rPr>
                <w:b/>
                <w:bCs/>
                <w:sz w:val="28"/>
                <w:szCs w:val="28"/>
                <w:lang w:val="uk-UA" w:eastAsia="ar-SA" w:bidi="ar-SA"/>
              </w:rPr>
            </w:pPr>
            <w:r>
              <w:rPr>
                <w:b/>
                <w:bCs/>
                <w:sz w:val="28"/>
                <w:szCs w:val="28"/>
                <w:lang w:val="uk-UA" w:eastAsia="ar-SA" w:bidi="ar-SA"/>
              </w:rPr>
              <w:t xml:space="preserve">4. Особи, які мали статус учасника банку, мають право звернутись до суду за захистом свого порушеного права на відшкодування шкоди (здійснення компенсації). В такому випадку порядок, спосіб, строки та інші суттєві умови відшкодування шкоди (здійснення компенсації) визначаються судом, а достатнім доказом наявності та розміру збитків є звіт/висновок/ експертне дослідження державної спеціалізованої експертної установи, компетентність експертів якої засвідчена відповідними атестатами про акредитацію та сертифікатами суб'єктів оціночної діяльності.  </w:t>
            </w:r>
          </w:p>
          <w:p w:rsidR="0054281E" w:rsidRDefault="0054281E">
            <w:pPr>
              <w:ind w:firstLine="283"/>
              <w:jc w:val="both"/>
              <w:rPr>
                <w:b/>
                <w:bCs/>
                <w:sz w:val="28"/>
                <w:szCs w:val="28"/>
                <w:lang w:val="uk-UA" w:eastAsia="ar-SA" w:bidi="ar-SA"/>
              </w:rPr>
            </w:pPr>
            <w:r>
              <w:rPr>
                <w:b/>
                <w:bCs/>
                <w:sz w:val="28"/>
                <w:szCs w:val="28"/>
                <w:lang w:val="uk-UA" w:eastAsia="ar-SA" w:bidi="ar-SA"/>
              </w:rPr>
              <w:t xml:space="preserve">Ухвалення судом, рішення зазначеного в частині третій цієї статті, в процесі  його виконання:  </w:t>
            </w:r>
          </w:p>
          <w:p w:rsidR="0054281E" w:rsidRDefault="0054281E">
            <w:pPr>
              <w:ind w:firstLine="283"/>
              <w:jc w:val="both"/>
              <w:rPr>
                <w:b/>
                <w:bCs/>
                <w:sz w:val="28"/>
                <w:szCs w:val="28"/>
                <w:lang w:val="uk-UA" w:eastAsia="ar-SA" w:bidi="ar-SA"/>
              </w:rPr>
            </w:pPr>
            <w:r>
              <w:rPr>
                <w:b/>
                <w:bCs/>
                <w:sz w:val="28"/>
                <w:szCs w:val="28"/>
                <w:lang w:val="uk-UA" w:eastAsia="ar-SA" w:bidi="ar-SA"/>
              </w:rPr>
              <w:t xml:space="preserve">не відновлює становища банку, яке існувало до прийняття протиправного (незаконного) рішення, індивідуального акта, дії, бездіяльності, правочину тощо, включаючи відновлення правового статусу цього банку; </w:t>
            </w:r>
          </w:p>
          <w:p w:rsidR="0054281E" w:rsidRDefault="0054281E">
            <w:pPr>
              <w:ind w:firstLine="283"/>
              <w:jc w:val="both"/>
              <w:rPr>
                <w:b/>
                <w:sz w:val="28"/>
                <w:szCs w:val="28"/>
                <w:lang w:val="uk-UA" w:eastAsia="ar-SA" w:bidi="ar-SA"/>
              </w:rPr>
            </w:pPr>
            <w:r>
              <w:rPr>
                <w:b/>
                <w:bCs/>
                <w:sz w:val="28"/>
                <w:szCs w:val="28"/>
                <w:lang w:val="uk-UA" w:eastAsia="ar-SA" w:bidi="ar-SA"/>
              </w:rPr>
              <w:t xml:space="preserve">не поновлює в правах осіб, які були учасниками банку на момент віднесення банку до категорії неплатоспроможних, окрім права на відшкодування завданої шкоди (отримання компенсації).  </w:t>
            </w:r>
          </w:p>
          <w:p w:rsidR="0054281E" w:rsidRDefault="0054281E">
            <w:pPr>
              <w:ind w:firstLine="283"/>
              <w:jc w:val="both"/>
            </w:pPr>
            <w:r>
              <w:rPr>
                <w:b/>
                <w:sz w:val="28"/>
                <w:szCs w:val="28"/>
                <w:lang w:val="uk-UA" w:eastAsia="ar-SA" w:bidi="ar-SA"/>
              </w:rPr>
              <w:t xml:space="preserve">5. Правила частин 2 - 4 цієї статті не поширюються на правовідносини та виконання судових рішень, що пов'язані з оскарженням рішень, актів або окремих їх положень, та/або будь-яких інших правочинів щодо визнання осіб пов’язаними, щодо проведення додаткової емісії акцій шляхом конвертації зобов’язань банку перед </w:t>
            </w:r>
            <w:r>
              <w:rPr>
                <w:b/>
                <w:sz w:val="28"/>
                <w:szCs w:val="28"/>
                <w:lang w:val="uk-UA" w:eastAsia="ar-SA" w:bidi="ar-SA"/>
              </w:rPr>
              <w:lastRenderedPageBreak/>
              <w:t xml:space="preserve">пов’язаними з банком особами в акції банку, щодо стягнення коштів за такими зобов’язаннями банку та інші </w:t>
            </w:r>
            <w:r w:rsidR="005C6CA8">
              <w:rPr>
                <w:b/>
                <w:sz w:val="28"/>
                <w:szCs w:val="28"/>
                <w:lang w:val="uk-UA" w:eastAsia="ar-SA" w:bidi="ar-SA"/>
              </w:rPr>
              <w:t>пов’язані</w:t>
            </w:r>
            <w:r>
              <w:rPr>
                <w:b/>
                <w:sz w:val="28"/>
                <w:szCs w:val="28"/>
                <w:lang w:val="uk-UA" w:eastAsia="ar-SA" w:bidi="ar-SA"/>
              </w:rPr>
              <w:t xml:space="preserve"> вимоги. </w:t>
            </w:r>
          </w:p>
        </w:tc>
      </w:tr>
      <w:tr w:rsidR="0054281E" w:rsidTr="005C6CA8">
        <w:tc>
          <w:tcPr>
            <w:tcW w:w="737" w:type="dxa"/>
            <w:tcBorders>
              <w:left w:val="single" w:sz="4" w:space="0" w:color="000000"/>
              <w:bottom w:val="single" w:sz="4" w:space="0" w:color="000000"/>
            </w:tcBorders>
            <w:shd w:val="clear" w:color="auto" w:fill="auto"/>
          </w:tcPr>
          <w:p w:rsidR="0054281E" w:rsidRDefault="0054281E">
            <w:pPr>
              <w:snapToGrid w:val="0"/>
              <w:ind w:left="270"/>
            </w:pPr>
          </w:p>
        </w:tc>
        <w:tc>
          <w:tcPr>
            <w:tcW w:w="15000" w:type="dxa"/>
            <w:gridSpan w:val="3"/>
            <w:tcBorders>
              <w:left w:val="single" w:sz="4" w:space="0" w:color="000000"/>
              <w:bottom w:val="single" w:sz="4" w:space="0" w:color="000000"/>
              <w:right w:val="single" w:sz="4" w:space="0" w:color="000000"/>
            </w:tcBorders>
            <w:shd w:val="clear" w:color="auto" w:fill="auto"/>
          </w:tcPr>
          <w:p w:rsidR="0054281E" w:rsidRDefault="0054281E">
            <w:pPr>
              <w:snapToGrid w:val="0"/>
              <w:ind w:firstLine="295"/>
              <w:jc w:val="center"/>
              <w:rPr>
                <w:b/>
                <w:sz w:val="28"/>
                <w:szCs w:val="28"/>
                <w:lang w:val="uk-UA" w:eastAsia="ar-SA" w:bidi="ar-SA"/>
              </w:rPr>
            </w:pPr>
          </w:p>
          <w:p w:rsidR="0054281E" w:rsidRDefault="0054281E">
            <w:pPr>
              <w:ind w:firstLine="295"/>
              <w:jc w:val="center"/>
              <w:rPr>
                <w:b/>
                <w:sz w:val="28"/>
                <w:szCs w:val="28"/>
                <w:lang w:val="uk-UA" w:eastAsia="ar-SA" w:bidi="ar-SA"/>
              </w:rPr>
            </w:pPr>
            <w:r>
              <w:rPr>
                <w:b/>
                <w:sz w:val="28"/>
                <w:szCs w:val="28"/>
                <w:lang w:val="uk-UA" w:eastAsia="ar-SA" w:bidi="ar-SA"/>
              </w:rPr>
              <w:t>Закон України «Про систему гарантування вкладів фізичних осіб»</w:t>
            </w:r>
          </w:p>
          <w:p w:rsidR="0054281E" w:rsidRDefault="0054281E">
            <w:pPr>
              <w:ind w:firstLine="295"/>
              <w:jc w:val="center"/>
              <w:rPr>
                <w:b/>
                <w:sz w:val="28"/>
                <w:szCs w:val="28"/>
                <w:lang w:val="uk-UA" w:eastAsia="ar-SA" w:bidi="ar-SA"/>
              </w:rPr>
            </w:pPr>
          </w:p>
        </w:tc>
      </w:tr>
      <w:tr w:rsidR="0054281E" w:rsidTr="005C6CA8">
        <w:tc>
          <w:tcPr>
            <w:tcW w:w="737" w:type="dxa"/>
            <w:tcBorders>
              <w:left w:val="single" w:sz="4" w:space="0" w:color="000000"/>
              <w:bottom w:val="single" w:sz="4" w:space="0" w:color="000000"/>
            </w:tcBorders>
            <w:shd w:val="clear" w:color="auto" w:fill="auto"/>
          </w:tcPr>
          <w:p w:rsidR="0054281E" w:rsidRDefault="0054281E">
            <w:pPr>
              <w:snapToGrid w:val="0"/>
              <w:ind w:left="270"/>
              <w:rPr>
                <w:b/>
                <w:bCs/>
                <w:sz w:val="28"/>
                <w:szCs w:val="28"/>
                <w:lang w:val="uk-UA" w:eastAsia="ar-SA" w:bidi="ar-SA"/>
              </w:rPr>
            </w:pPr>
            <w:r>
              <w:rPr>
                <w:lang w:val="uk-UA"/>
              </w:rPr>
              <w:t>3</w:t>
            </w:r>
          </w:p>
        </w:tc>
        <w:tc>
          <w:tcPr>
            <w:tcW w:w="7485" w:type="dxa"/>
            <w:gridSpan w:val="2"/>
            <w:tcBorders>
              <w:left w:val="single" w:sz="4" w:space="0" w:color="000000"/>
              <w:bottom w:val="single" w:sz="4" w:space="0" w:color="000000"/>
            </w:tcBorders>
            <w:shd w:val="clear" w:color="auto" w:fill="auto"/>
          </w:tcPr>
          <w:p w:rsidR="0054281E" w:rsidRDefault="0054281E">
            <w:pPr>
              <w:shd w:val="clear" w:color="auto" w:fill="FFFFFF"/>
              <w:ind w:firstLine="295"/>
              <w:jc w:val="both"/>
              <w:rPr>
                <w:sz w:val="28"/>
                <w:szCs w:val="28"/>
                <w:lang w:val="uk-UA" w:eastAsia="ar-SA" w:bidi="ar-SA"/>
              </w:rPr>
            </w:pPr>
            <w:r w:rsidRPr="005C6CA8">
              <w:rPr>
                <w:bCs/>
                <w:sz w:val="28"/>
                <w:szCs w:val="28"/>
                <w:lang w:val="uk-UA" w:eastAsia="ar-SA" w:bidi="ar-SA"/>
              </w:rPr>
              <w:t>Стаття 54</w:t>
            </w:r>
            <w:r>
              <w:rPr>
                <w:b/>
                <w:bCs/>
                <w:sz w:val="28"/>
                <w:szCs w:val="28"/>
                <w:lang w:val="uk-UA" w:eastAsia="ar-SA" w:bidi="ar-SA"/>
              </w:rPr>
              <w:t>.</w:t>
            </w:r>
            <w:r>
              <w:rPr>
                <w:sz w:val="28"/>
                <w:szCs w:val="28"/>
                <w:lang w:val="uk-UA" w:eastAsia="ar-SA" w:bidi="ar-SA"/>
              </w:rPr>
              <w:t> Оскарження рішень</w:t>
            </w:r>
          </w:p>
          <w:p w:rsidR="0054281E" w:rsidRDefault="0054281E">
            <w:pPr>
              <w:shd w:val="clear" w:color="auto" w:fill="FFFFFF"/>
              <w:ind w:firstLine="295"/>
              <w:jc w:val="both"/>
              <w:rPr>
                <w:sz w:val="28"/>
                <w:szCs w:val="28"/>
                <w:lang w:val="uk-UA" w:eastAsia="ar-SA" w:bidi="ar-SA"/>
              </w:rPr>
            </w:pPr>
          </w:p>
          <w:p w:rsidR="0054281E" w:rsidRDefault="0054281E">
            <w:pPr>
              <w:numPr>
                <w:ilvl w:val="1"/>
                <w:numId w:val="1"/>
              </w:numPr>
              <w:shd w:val="clear" w:color="auto" w:fill="FFFFFF"/>
              <w:ind w:left="0" w:firstLine="295"/>
              <w:jc w:val="both"/>
              <w:rPr>
                <w:sz w:val="28"/>
                <w:szCs w:val="28"/>
                <w:lang w:val="uk-UA" w:eastAsia="ar-SA" w:bidi="ar-SA"/>
              </w:rPr>
            </w:pPr>
            <w:r>
              <w:rPr>
                <w:sz w:val="28"/>
                <w:szCs w:val="28"/>
                <w:lang w:val="uk-UA" w:eastAsia="ar-SA" w:bidi="ar-SA"/>
              </w:rPr>
              <w:t>Рішення, що приймаються відповідно до цього Закону Національним банком України, Фондом, працівниками Фонду, що виконують функції, передбачені цим Законом, у тому числі у процесі здійснення тимчасової адміністрації, ліквідації банку, виконання плану врегулювання, можуть бути оскаржені до суду.</w:t>
            </w:r>
          </w:p>
          <w:p w:rsidR="0054281E" w:rsidRDefault="0054281E">
            <w:pPr>
              <w:shd w:val="clear" w:color="auto" w:fill="FFFFFF"/>
              <w:ind w:firstLine="295"/>
              <w:jc w:val="both"/>
              <w:rPr>
                <w:sz w:val="28"/>
                <w:szCs w:val="28"/>
                <w:lang w:val="uk-UA" w:eastAsia="ar-SA" w:bidi="ar-SA"/>
              </w:rPr>
            </w:pPr>
          </w:p>
          <w:p w:rsidR="0054281E" w:rsidRDefault="0054281E">
            <w:pPr>
              <w:shd w:val="clear" w:color="auto" w:fill="FFFFFF"/>
              <w:ind w:firstLine="295"/>
              <w:jc w:val="both"/>
              <w:rPr>
                <w:sz w:val="28"/>
                <w:szCs w:val="28"/>
                <w:lang w:val="uk-UA" w:eastAsia="ar-SA" w:bidi="ar-SA"/>
              </w:rPr>
            </w:pPr>
          </w:p>
          <w:p w:rsidR="0054281E" w:rsidRDefault="0054281E">
            <w:pPr>
              <w:shd w:val="clear" w:color="auto" w:fill="FFFFFF"/>
              <w:ind w:firstLine="295"/>
              <w:jc w:val="both"/>
              <w:rPr>
                <w:sz w:val="28"/>
                <w:szCs w:val="28"/>
                <w:lang w:val="uk-UA" w:eastAsia="ar-SA" w:bidi="ar-SA"/>
              </w:rPr>
            </w:pPr>
          </w:p>
          <w:p w:rsidR="0054281E" w:rsidRDefault="0054281E">
            <w:pPr>
              <w:shd w:val="clear" w:color="auto" w:fill="FFFFFF"/>
              <w:ind w:firstLine="295"/>
              <w:jc w:val="both"/>
              <w:rPr>
                <w:b/>
                <w:bCs/>
                <w:sz w:val="28"/>
                <w:szCs w:val="28"/>
                <w:lang w:val="uk-UA" w:eastAsia="ar-SA" w:bidi="ar-SA"/>
              </w:rPr>
            </w:pPr>
            <w:r>
              <w:rPr>
                <w:sz w:val="28"/>
                <w:szCs w:val="28"/>
                <w:lang w:val="uk-UA" w:eastAsia="ar-SA" w:bidi="ar-SA"/>
              </w:rPr>
              <w:t>2. Оскарження рішень, визначених частиною першою цієї статті, не зупиняє виконання оскаржуваного рішення або дії.</w:t>
            </w:r>
          </w:p>
        </w:tc>
        <w:tc>
          <w:tcPr>
            <w:tcW w:w="7515" w:type="dxa"/>
            <w:tcBorders>
              <w:left w:val="single" w:sz="4" w:space="0" w:color="000000"/>
              <w:bottom w:val="single" w:sz="4" w:space="0" w:color="000000"/>
              <w:right w:val="single" w:sz="4" w:space="0" w:color="000000"/>
            </w:tcBorders>
            <w:shd w:val="clear" w:color="auto" w:fill="auto"/>
          </w:tcPr>
          <w:p w:rsidR="0054281E" w:rsidRPr="005C6CA8" w:rsidRDefault="0054281E">
            <w:pPr>
              <w:ind w:firstLine="283"/>
              <w:jc w:val="both"/>
              <w:rPr>
                <w:sz w:val="28"/>
                <w:szCs w:val="28"/>
                <w:lang w:val="uk-UA" w:eastAsia="ar-SA" w:bidi="ar-SA"/>
              </w:rPr>
            </w:pPr>
            <w:r w:rsidRPr="005C6CA8">
              <w:rPr>
                <w:bCs/>
                <w:sz w:val="28"/>
                <w:szCs w:val="28"/>
                <w:lang w:val="uk-UA" w:eastAsia="ar-SA" w:bidi="ar-SA"/>
              </w:rPr>
              <w:t>Стаття 54. Оскарження рішень</w:t>
            </w:r>
            <w:r w:rsidRPr="005C6CA8">
              <w:rPr>
                <w:sz w:val="28"/>
                <w:szCs w:val="28"/>
                <w:lang w:val="uk-UA" w:eastAsia="ar-SA" w:bidi="ar-SA"/>
              </w:rPr>
              <w:t xml:space="preserve">  </w:t>
            </w:r>
          </w:p>
          <w:p w:rsidR="0054281E" w:rsidRDefault="0054281E">
            <w:pPr>
              <w:ind w:firstLine="283"/>
              <w:jc w:val="both"/>
              <w:rPr>
                <w:sz w:val="28"/>
                <w:szCs w:val="28"/>
                <w:lang w:val="uk-UA" w:eastAsia="ar-SA" w:bidi="ar-SA"/>
              </w:rPr>
            </w:pPr>
          </w:p>
          <w:p w:rsidR="0054281E" w:rsidRDefault="0054281E">
            <w:pPr>
              <w:ind w:firstLine="283"/>
              <w:jc w:val="both"/>
              <w:rPr>
                <w:sz w:val="28"/>
                <w:szCs w:val="28"/>
                <w:lang w:val="uk-UA" w:eastAsia="ar-SA" w:bidi="ar-SA"/>
              </w:rPr>
            </w:pPr>
            <w:r>
              <w:rPr>
                <w:sz w:val="28"/>
                <w:szCs w:val="28"/>
                <w:lang w:val="uk-UA" w:eastAsia="ar-SA" w:bidi="ar-SA"/>
              </w:rPr>
              <w:t xml:space="preserve">1. Рішення, що приймаються відповідно до цього Закону Національним банком України, </w:t>
            </w:r>
            <w:r>
              <w:rPr>
                <w:b/>
                <w:bCs/>
                <w:sz w:val="28"/>
                <w:szCs w:val="28"/>
                <w:lang w:val="uk-UA" w:eastAsia="ar-SA" w:bidi="ar-SA"/>
              </w:rPr>
              <w:t>Кабінетом Міністрів України, Міністерством фінансів України, Національною комісією з цінних паперів та фондового ринку,</w:t>
            </w:r>
            <w:r>
              <w:rPr>
                <w:sz w:val="28"/>
                <w:szCs w:val="28"/>
                <w:lang w:val="uk-UA" w:eastAsia="ar-SA" w:bidi="ar-SA"/>
              </w:rPr>
              <w:t xml:space="preserve"> Фондом, працівниками Фонду, що виконують функції, передбачені цим Законом, у тому числі у процесі здійснення тимчасової адміністрації, ліквідації банку, виконання плану врегулювання, можуть бути оскаржені до суду </w:t>
            </w:r>
            <w:r>
              <w:rPr>
                <w:b/>
                <w:bCs/>
                <w:sz w:val="28"/>
                <w:szCs w:val="28"/>
                <w:lang w:val="uk-UA" w:eastAsia="ar-SA" w:bidi="ar-SA"/>
              </w:rPr>
              <w:t>виключно з метою встановлення їх законності.</w:t>
            </w:r>
            <w:r>
              <w:rPr>
                <w:sz w:val="28"/>
                <w:szCs w:val="28"/>
                <w:lang w:val="uk-UA" w:eastAsia="ar-SA" w:bidi="ar-SA"/>
              </w:rPr>
              <w:t xml:space="preserve">  </w:t>
            </w:r>
          </w:p>
          <w:p w:rsidR="0054281E" w:rsidRDefault="0054281E">
            <w:pPr>
              <w:ind w:firstLine="283"/>
              <w:jc w:val="both"/>
              <w:rPr>
                <w:b/>
                <w:bCs/>
                <w:sz w:val="28"/>
                <w:szCs w:val="28"/>
                <w:lang w:val="uk-UA" w:eastAsia="ar-SA" w:bidi="ar-SA"/>
              </w:rPr>
            </w:pPr>
            <w:r>
              <w:rPr>
                <w:sz w:val="28"/>
                <w:szCs w:val="28"/>
                <w:lang w:val="uk-UA" w:eastAsia="ar-SA" w:bidi="ar-SA"/>
              </w:rPr>
              <w:t xml:space="preserve">2. Оскарження рішень, визначених частиною першою цієї статті, не зупиняє виконання оскаржуваного рішення або дії.  </w:t>
            </w:r>
          </w:p>
          <w:p w:rsidR="0054281E" w:rsidRDefault="0054281E">
            <w:pPr>
              <w:ind w:firstLine="283"/>
              <w:jc w:val="both"/>
              <w:rPr>
                <w:b/>
                <w:bCs/>
                <w:sz w:val="28"/>
                <w:szCs w:val="28"/>
                <w:lang w:val="uk-UA" w:eastAsia="ar-SA" w:bidi="ar-SA"/>
              </w:rPr>
            </w:pPr>
            <w:r>
              <w:rPr>
                <w:b/>
                <w:bCs/>
                <w:sz w:val="28"/>
                <w:szCs w:val="28"/>
                <w:lang w:val="uk-UA" w:eastAsia="ar-SA" w:bidi="ar-SA"/>
              </w:rPr>
              <w:t xml:space="preserve">3. Особливості оскарження рішень (індивідуальних актів) Фонду про запровадження тимчасової адміністрації у банку, про початок процедури ліквідації банку, про затвердження плану врегулювання та будь-яких інших рішень (індивідуальних актів), прийнятих на його виконання, а також рішень (індивідуальних актів) щодо призначення уповноважених осіб Фонду, делегування їм повноважень, рішень (індивідуальних актів) Національного банку України про затвердження пропозиції Національного банку України про участь держави у виведенні неплатоспроможного банку з ринку, </w:t>
            </w:r>
            <w:r>
              <w:rPr>
                <w:b/>
                <w:bCs/>
                <w:sz w:val="28"/>
                <w:szCs w:val="28"/>
                <w:lang w:val="uk-UA" w:eastAsia="ar-SA" w:bidi="ar-SA"/>
              </w:rPr>
              <w:lastRenderedPageBreak/>
              <w:t xml:space="preserve">рішень Кабінету Міністрів України про участь держави у виведенні неплатоспроможного банку з ринку та рішень (індивідуальних актів) Міністерства фінансів України, прийнятих на виконання таких рішень Кабінету Міністрів України, а також рішень (індивідуальних актів) Національної комісії з цінних паперів та фондового ринку, прийнятих у процесі виведення неплатоспроможного банку з ринку за участю держави, встановлюються Кодексом адміністративного судочинства України.  </w:t>
            </w:r>
          </w:p>
          <w:p w:rsidR="0054281E" w:rsidRDefault="0054281E">
            <w:pPr>
              <w:ind w:firstLine="283"/>
              <w:jc w:val="both"/>
              <w:rPr>
                <w:b/>
                <w:bCs/>
                <w:sz w:val="28"/>
                <w:szCs w:val="28"/>
                <w:lang w:val="uk-UA" w:eastAsia="ar-SA" w:bidi="ar-SA"/>
              </w:rPr>
            </w:pPr>
            <w:r>
              <w:rPr>
                <w:b/>
                <w:bCs/>
                <w:sz w:val="28"/>
                <w:szCs w:val="28"/>
                <w:lang w:val="uk-UA" w:eastAsia="ar-SA" w:bidi="ar-SA"/>
              </w:rPr>
              <w:t xml:space="preserve">4. У випадку ухвалення судом, рішення про повне або часткове задоволення позову про: визнання протиправним (незаконним) та скасування рішення (індивідуального акта) Фонду про запровадження тимчасової адміністрації у банку, про початок процедури ліквідації банку, про затвердження плану врегулювання та будь-яких інших рішень (індивідуальних актів), прийнятих на його виконання, а також рішень (індивідуальних актів) щодо призначення уповноважених осіб Фонду, делегування їм повноважень, рішень Кабінету Міністрів України про участь держави у виведенні неплатоспроможного банку з ринку та рішень (індивідуальних актів) Міністерства фінансів України, прийнятих на виконання таких рішень Кабінету Міністрів України, а також рішень (індивідуальних актів) Національної комісії з цінних паперів та фондового ринку, прийнятих у процесі виведення неплатоспроможного банку з ринку та/або у разі визнання недійсними та/або протиправними (незаконними) та/або скасуванням інших актів, </w:t>
            </w:r>
            <w:r>
              <w:rPr>
                <w:b/>
                <w:bCs/>
                <w:sz w:val="28"/>
                <w:szCs w:val="28"/>
                <w:lang w:val="uk-UA" w:eastAsia="ar-SA" w:bidi="ar-SA"/>
              </w:rPr>
              <w:lastRenderedPageBreak/>
              <w:t xml:space="preserve">договорів та інших правочинів, пов’язаних з вищеперерахованими категоріями справ, та/або про визнання права власності на акції банку, та/або про повне або часткове задоволення позову у інших справах, пов’язаних з / похідними від вищеперерахованих, особи, які мали статус учасника банку, мають право на відшкодування шкоди (отримання компенсації) у порядку, встановленому законом, заподіяної таким протиправним (незаконним) рішенням, індивідуальним актом, дією, бездіяльністю, правочином тощо.  </w:t>
            </w:r>
          </w:p>
          <w:p w:rsidR="0054281E" w:rsidRDefault="0054281E">
            <w:pPr>
              <w:ind w:firstLine="283"/>
              <w:jc w:val="both"/>
              <w:rPr>
                <w:b/>
                <w:bCs/>
                <w:sz w:val="28"/>
                <w:szCs w:val="28"/>
                <w:lang w:val="uk-UA" w:eastAsia="ar-SA" w:bidi="ar-SA"/>
              </w:rPr>
            </w:pPr>
            <w:r>
              <w:rPr>
                <w:b/>
                <w:bCs/>
                <w:sz w:val="28"/>
                <w:szCs w:val="28"/>
                <w:lang w:val="uk-UA" w:eastAsia="ar-SA" w:bidi="ar-SA"/>
              </w:rPr>
              <w:t xml:space="preserve">5. Особи, які мали статус учасника банку, мають право звернутись до суду за захистом свого порушеного права на відшкодування шкоди (здійснення компенсації). В такому випадку порядок, спосіб, строки та інші суттєві умови відшкодування шкоди (здійснення компенсації) визначаються судом, а достатнім доказом наявності та розміру збитків є звіт/висновок/ експертне дослідження державної спеціалізованої експертної установи, компетентність експертів якої засвідчена відповідними атестатами про акредитацію та сертифікатами суб'єктів оціночної діяльності. </w:t>
            </w:r>
          </w:p>
          <w:p w:rsidR="0054281E" w:rsidRDefault="0054281E">
            <w:pPr>
              <w:ind w:firstLine="283"/>
              <w:jc w:val="both"/>
              <w:rPr>
                <w:b/>
                <w:bCs/>
                <w:sz w:val="28"/>
                <w:szCs w:val="28"/>
                <w:lang w:val="uk-UA" w:eastAsia="ar-SA" w:bidi="ar-SA"/>
              </w:rPr>
            </w:pPr>
            <w:r>
              <w:rPr>
                <w:b/>
                <w:bCs/>
                <w:sz w:val="28"/>
                <w:szCs w:val="28"/>
                <w:lang w:val="uk-UA" w:eastAsia="ar-SA" w:bidi="ar-SA"/>
              </w:rPr>
              <w:t xml:space="preserve">Ухвалення судом, рішення зазначеного в частині четвертій цієї статті, в процесі  його виконання: </w:t>
            </w:r>
          </w:p>
          <w:p w:rsidR="0054281E" w:rsidRDefault="0054281E">
            <w:pPr>
              <w:ind w:firstLine="283"/>
              <w:jc w:val="both"/>
              <w:rPr>
                <w:b/>
                <w:bCs/>
                <w:sz w:val="28"/>
                <w:szCs w:val="28"/>
                <w:lang w:val="uk-UA" w:eastAsia="ar-SA" w:bidi="ar-SA"/>
              </w:rPr>
            </w:pPr>
            <w:r>
              <w:rPr>
                <w:b/>
                <w:bCs/>
                <w:sz w:val="28"/>
                <w:szCs w:val="28"/>
                <w:lang w:val="uk-UA" w:eastAsia="ar-SA" w:bidi="ar-SA"/>
              </w:rPr>
              <w:t xml:space="preserve">не відновлює становища банку, яке існувало до прийняття протиправного (незаконного) рішення, індивідуального акта, дії, бездіяльності, правочину тощо, включаючи відновлення правового статусу цього банку;  </w:t>
            </w:r>
          </w:p>
          <w:p w:rsidR="0054281E" w:rsidRDefault="0054281E">
            <w:pPr>
              <w:ind w:firstLine="283"/>
              <w:jc w:val="both"/>
              <w:rPr>
                <w:b/>
                <w:bCs/>
                <w:sz w:val="28"/>
                <w:szCs w:val="28"/>
                <w:lang w:val="uk-UA" w:eastAsia="ar-SA" w:bidi="ar-SA"/>
              </w:rPr>
            </w:pPr>
            <w:r>
              <w:rPr>
                <w:b/>
                <w:bCs/>
                <w:sz w:val="28"/>
                <w:szCs w:val="28"/>
                <w:lang w:val="uk-UA" w:eastAsia="ar-SA" w:bidi="ar-SA"/>
              </w:rPr>
              <w:t xml:space="preserve">не поновлює в правах осіб, які були учасниками банку на момент віднесення банку до категорії неплатоспроможних, окрім права на відшкодування </w:t>
            </w:r>
            <w:r>
              <w:rPr>
                <w:b/>
                <w:bCs/>
                <w:sz w:val="28"/>
                <w:szCs w:val="28"/>
                <w:lang w:val="uk-UA" w:eastAsia="ar-SA" w:bidi="ar-SA"/>
              </w:rPr>
              <w:lastRenderedPageBreak/>
              <w:t xml:space="preserve">завданої шкоди (отримання компенсації).  </w:t>
            </w:r>
          </w:p>
          <w:p w:rsidR="0054281E" w:rsidRDefault="0054281E">
            <w:pPr>
              <w:ind w:firstLine="283"/>
              <w:jc w:val="both"/>
            </w:pPr>
            <w:r>
              <w:rPr>
                <w:b/>
                <w:bCs/>
                <w:sz w:val="28"/>
                <w:szCs w:val="28"/>
                <w:lang w:val="uk-UA" w:eastAsia="ar-SA" w:bidi="ar-SA"/>
              </w:rPr>
              <w:t xml:space="preserve">6. Правила частин 3 - 5 цієї статті не поширюються на правовідносини та виконання судових рішень, що пов'язані з оскарженням рішень, актів або окремих їх положень, та/або будь-яких інших правочинів щодо визнання осіб пов’язаними, щодо проведення додаткової емісії акцій </w:t>
            </w:r>
            <w:r>
              <w:rPr>
                <w:b/>
                <w:sz w:val="28"/>
                <w:szCs w:val="28"/>
                <w:lang w:val="uk-UA" w:eastAsia="ar-SA" w:bidi="ar-SA"/>
              </w:rPr>
              <w:t xml:space="preserve">шляхом конвертації зобов’язань банку перед пов’язаними з банком особами в акції банку, щодо стягнення коштів за такими зобов’язаннями банку та інші </w:t>
            </w:r>
            <w:r w:rsidR="005C6CA8">
              <w:rPr>
                <w:b/>
                <w:sz w:val="28"/>
                <w:szCs w:val="28"/>
                <w:lang w:val="uk-UA" w:eastAsia="ar-SA" w:bidi="ar-SA"/>
              </w:rPr>
              <w:t>пов’язані</w:t>
            </w:r>
            <w:r>
              <w:rPr>
                <w:b/>
                <w:sz w:val="28"/>
                <w:szCs w:val="28"/>
                <w:lang w:val="uk-UA" w:eastAsia="ar-SA" w:bidi="ar-SA"/>
              </w:rPr>
              <w:t xml:space="preserve"> вимоги. </w:t>
            </w:r>
          </w:p>
        </w:tc>
      </w:tr>
    </w:tbl>
    <w:p w:rsidR="0054281E" w:rsidRDefault="0054281E">
      <w:pPr>
        <w:rPr>
          <w:lang w:val="uk-UA"/>
        </w:rPr>
      </w:pPr>
    </w:p>
    <w:p w:rsidR="0054281E" w:rsidRDefault="0054281E">
      <w:pPr>
        <w:rPr>
          <w:sz w:val="28"/>
          <w:szCs w:val="28"/>
          <w:lang w:val="uk-UA"/>
        </w:rPr>
      </w:pPr>
    </w:p>
    <w:p w:rsidR="005C6CA8" w:rsidRDefault="005C6CA8">
      <w:pPr>
        <w:rPr>
          <w:sz w:val="28"/>
          <w:szCs w:val="28"/>
          <w:lang w:val="uk-UA"/>
        </w:rPr>
      </w:pPr>
    </w:p>
    <w:p w:rsidR="005C6CA8" w:rsidRDefault="005C6CA8">
      <w:pPr>
        <w:rPr>
          <w:sz w:val="28"/>
          <w:szCs w:val="28"/>
          <w:lang w:val="uk-UA"/>
        </w:rPr>
      </w:pPr>
    </w:p>
    <w:p w:rsidR="005C6CA8" w:rsidRDefault="005C6CA8">
      <w:pPr>
        <w:rPr>
          <w:sz w:val="28"/>
          <w:szCs w:val="28"/>
          <w:lang w:val="uk-UA"/>
        </w:rPr>
      </w:pPr>
    </w:p>
    <w:p w:rsidR="0054281E" w:rsidRDefault="0054281E">
      <w:pPr>
        <w:rPr>
          <w:sz w:val="28"/>
          <w:szCs w:val="28"/>
          <w:lang w:val="uk-UA"/>
        </w:rPr>
      </w:pPr>
    </w:p>
    <w:p w:rsidR="005C6CA8" w:rsidRPr="008F5511" w:rsidRDefault="005C6CA8" w:rsidP="005C6CA8">
      <w:pPr>
        <w:rPr>
          <w:rFonts w:eastAsia="Times New Roman" w:cs="Times New Roman"/>
          <w:b/>
          <w:bCs/>
          <w:sz w:val="28"/>
          <w:szCs w:val="28"/>
          <w:lang w:eastAsia="uk-UA"/>
        </w:rPr>
      </w:pPr>
      <w:r w:rsidRPr="008F5511">
        <w:rPr>
          <w:rFonts w:eastAsia="Times New Roman" w:cs="Times New Roman"/>
          <w:b/>
          <w:bCs/>
          <w:sz w:val="28"/>
          <w:szCs w:val="28"/>
          <w:lang w:eastAsia="uk-UA"/>
        </w:rPr>
        <w:t>Народний депутат України</w:t>
      </w:r>
      <w:r w:rsidRPr="008F5511">
        <w:rPr>
          <w:rFonts w:eastAsia="Times New Roman" w:cs="Times New Roman"/>
          <w:b/>
          <w:bCs/>
          <w:sz w:val="28"/>
          <w:szCs w:val="28"/>
          <w:lang w:eastAsia="uk-UA"/>
        </w:rPr>
        <w:tab/>
      </w:r>
      <w:r w:rsidRPr="008F5511">
        <w:rPr>
          <w:rFonts w:eastAsia="Times New Roman" w:cs="Times New Roman"/>
          <w:b/>
          <w:bCs/>
          <w:sz w:val="28"/>
          <w:szCs w:val="28"/>
          <w:lang w:eastAsia="uk-UA"/>
        </w:rPr>
        <w:tab/>
      </w:r>
      <w:r w:rsidRPr="008F5511">
        <w:rPr>
          <w:rFonts w:eastAsia="Times New Roman" w:cs="Times New Roman"/>
          <w:b/>
          <w:bCs/>
          <w:sz w:val="28"/>
          <w:szCs w:val="28"/>
          <w:lang w:eastAsia="uk-UA"/>
        </w:rPr>
        <w:tab/>
      </w:r>
      <w:r w:rsidRPr="008F5511">
        <w:rPr>
          <w:rFonts w:eastAsia="Times New Roman" w:cs="Times New Roman"/>
          <w:b/>
          <w:bCs/>
          <w:sz w:val="28"/>
          <w:szCs w:val="28"/>
          <w:lang w:eastAsia="uk-UA"/>
        </w:rPr>
        <w:tab/>
      </w:r>
      <w:r w:rsidRPr="008F5511">
        <w:rPr>
          <w:rFonts w:eastAsia="Times New Roman" w:cs="Times New Roman"/>
          <w:b/>
          <w:bCs/>
          <w:sz w:val="28"/>
          <w:szCs w:val="28"/>
          <w:lang w:eastAsia="uk-UA"/>
        </w:rPr>
        <w:tab/>
      </w:r>
      <w:r w:rsidRPr="008F5511">
        <w:rPr>
          <w:rFonts w:eastAsia="Times New Roman" w:cs="Times New Roman"/>
          <w:b/>
          <w:bCs/>
          <w:sz w:val="28"/>
          <w:szCs w:val="28"/>
          <w:lang w:eastAsia="uk-UA"/>
        </w:rPr>
        <w:tab/>
        <w:t xml:space="preserve">       </w:t>
      </w:r>
      <w:r>
        <w:rPr>
          <w:rFonts w:eastAsia="Times New Roman" w:cs="Times New Roman"/>
          <w:b/>
          <w:bCs/>
          <w:sz w:val="28"/>
          <w:szCs w:val="28"/>
          <w:lang w:eastAsia="uk-UA"/>
        </w:rPr>
        <w:tab/>
      </w:r>
      <w:r w:rsidRPr="008F5511">
        <w:rPr>
          <w:rFonts w:eastAsia="Times New Roman" w:cs="Times New Roman"/>
          <w:b/>
          <w:bCs/>
          <w:sz w:val="28"/>
          <w:szCs w:val="28"/>
          <w:lang w:eastAsia="uk-UA"/>
        </w:rPr>
        <w:t xml:space="preserve">  </w:t>
      </w:r>
      <w:r>
        <w:rPr>
          <w:rFonts w:eastAsia="Times New Roman" w:cs="Times New Roman"/>
          <w:b/>
          <w:bCs/>
          <w:sz w:val="28"/>
          <w:szCs w:val="28"/>
          <w:lang w:eastAsia="uk-UA"/>
        </w:rPr>
        <w:tab/>
      </w:r>
      <w:r>
        <w:rPr>
          <w:rFonts w:eastAsia="Times New Roman" w:cs="Times New Roman"/>
          <w:b/>
          <w:bCs/>
          <w:sz w:val="28"/>
          <w:szCs w:val="28"/>
          <w:lang w:eastAsia="uk-UA"/>
        </w:rPr>
        <w:tab/>
      </w:r>
      <w:r>
        <w:rPr>
          <w:rFonts w:eastAsia="Times New Roman" w:cs="Times New Roman"/>
          <w:b/>
          <w:bCs/>
          <w:sz w:val="28"/>
          <w:szCs w:val="28"/>
          <w:lang w:eastAsia="uk-UA"/>
        </w:rPr>
        <w:tab/>
      </w:r>
      <w:r>
        <w:rPr>
          <w:rFonts w:eastAsia="Times New Roman" w:cs="Times New Roman"/>
          <w:b/>
          <w:bCs/>
          <w:sz w:val="28"/>
          <w:szCs w:val="28"/>
          <w:lang w:eastAsia="uk-UA"/>
        </w:rPr>
        <w:tab/>
      </w:r>
      <w:r>
        <w:rPr>
          <w:rFonts w:eastAsia="Times New Roman" w:cs="Times New Roman"/>
          <w:b/>
          <w:bCs/>
          <w:sz w:val="28"/>
          <w:szCs w:val="28"/>
          <w:lang w:eastAsia="uk-UA"/>
        </w:rPr>
        <w:tab/>
      </w:r>
      <w:r>
        <w:rPr>
          <w:rFonts w:eastAsia="Times New Roman" w:cs="Times New Roman"/>
          <w:b/>
          <w:bCs/>
          <w:sz w:val="28"/>
          <w:szCs w:val="28"/>
          <w:lang w:eastAsia="uk-UA"/>
        </w:rPr>
        <w:tab/>
      </w:r>
      <w:r>
        <w:rPr>
          <w:rFonts w:eastAsia="Times New Roman" w:cs="Times New Roman"/>
          <w:b/>
          <w:bCs/>
          <w:sz w:val="28"/>
          <w:szCs w:val="28"/>
          <w:lang w:eastAsia="uk-UA"/>
        </w:rPr>
        <w:tab/>
      </w:r>
      <w:r>
        <w:rPr>
          <w:rFonts w:eastAsia="Times New Roman" w:cs="Times New Roman"/>
          <w:b/>
          <w:bCs/>
          <w:sz w:val="28"/>
          <w:szCs w:val="28"/>
          <w:lang w:eastAsia="uk-UA"/>
        </w:rPr>
        <w:tab/>
      </w:r>
      <w:r w:rsidRPr="008F5511">
        <w:rPr>
          <w:rFonts w:eastAsia="Times New Roman" w:cs="Times New Roman"/>
          <w:b/>
          <w:bCs/>
          <w:sz w:val="28"/>
          <w:szCs w:val="28"/>
          <w:lang w:eastAsia="uk-UA"/>
        </w:rPr>
        <w:t>О.А.ДУНДА</w:t>
      </w:r>
    </w:p>
    <w:p w:rsidR="005C6CA8" w:rsidRPr="006E2A64" w:rsidRDefault="005C6CA8" w:rsidP="005C6CA8">
      <w:pPr>
        <w:ind w:left="12763" w:firstLine="708"/>
        <w:rPr>
          <w:rFonts w:eastAsia="Times New Roman" w:cs="Times New Roman"/>
          <w:bCs/>
          <w:sz w:val="28"/>
          <w:szCs w:val="28"/>
          <w:lang w:eastAsia="uk-UA"/>
        </w:rPr>
      </w:pPr>
      <w:r w:rsidRPr="006E2A64">
        <w:rPr>
          <w:rFonts w:eastAsia="Times New Roman" w:cs="Times New Roman"/>
          <w:bCs/>
          <w:sz w:val="28"/>
          <w:szCs w:val="28"/>
          <w:lang w:eastAsia="uk-UA"/>
        </w:rPr>
        <w:t>(посв.№297)</w:t>
      </w:r>
    </w:p>
    <w:p w:rsidR="0054281E" w:rsidRDefault="0054281E">
      <w:pPr>
        <w:rPr>
          <w:sz w:val="28"/>
          <w:szCs w:val="28"/>
          <w:lang w:val="uk-UA"/>
        </w:rPr>
      </w:pPr>
    </w:p>
    <w:sectPr w:rsidR="0054281E" w:rsidSect="005C6CA8">
      <w:headerReference w:type="default" r:id="rId7"/>
      <w:pgSz w:w="16838" w:h="11906" w:orient="landscape"/>
      <w:pgMar w:top="850" w:right="850" w:bottom="706" w:left="850" w:header="708" w:footer="708" w:gutter="0"/>
      <w:cols w:space="720"/>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1215" w:rsidRDefault="00F81215" w:rsidP="005C6CA8">
      <w:r>
        <w:separator/>
      </w:r>
    </w:p>
  </w:endnote>
  <w:endnote w:type="continuationSeparator" w:id="0">
    <w:p w:rsidR="00F81215" w:rsidRDefault="00F81215" w:rsidP="005C6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1215" w:rsidRDefault="00F81215" w:rsidP="005C6CA8">
      <w:r>
        <w:separator/>
      </w:r>
    </w:p>
  </w:footnote>
  <w:footnote w:type="continuationSeparator" w:id="0">
    <w:p w:rsidR="00F81215" w:rsidRDefault="00F81215" w:rsidP="005C6C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6CA8" w:rsidRDefault="005C6CA8">
    <w:pPr>
      <w:pStyle w:val="ab"/>
      <w:jc w:val="right"/>
    </w:pPr>
    <w:r>
      <w:fldChar w:fldCharType="begin"/>
    </w:r>
    <w:r>
      <w:instrText>PAGE   \* MERGEFORMAT</w:instrText>
    </w:r>
    <w:r>
      <w:fldChar w:fldCharType="separate"/>
    </w:r>
    <w:r w:rsidR="00640EDC" w:rsidRPr="00640EDC">
      <w:rPr>
        <w:noProof/>
        <w:lang w:val="uk-UA"/>
      </w:rPr>
      <w:t>2</w:t>
    </w:r>
    <w:r>
      <w:fldChar w:fldCharType="end"/>
    </w:r>
  </w:p>
  <w:p w:rsidR="005C6CA8" w:rsidRDefault="005C6CA8">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B6E"/>
    <w:rsid w:val="00161DB8"/>
    <w:rsid w:val="002C5B6E"/>
    <w:rsid w:val="0054281E"/>
    <w:rsid w:val="005C6CA8"/>
    <w:rsid w:val="00640EDC"/>
    <w:rsid w:val="00F812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C896484A-2F6F-4A76-91C0-A64901188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rPr>
      <w:rFonts w:eastAsia="SimSun" w:cs="Ari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rvts9">
    <w:name w:val="rvts9"/>
  </w:style>
  <w:style w:type="character" w:customStyle="1" w:styleId="a3">
    <w:name w:val="Символ нумерации"/>
  </w:style>
  <w:style w:type="paragraph" w:customStyle="1" w:styleId="a4">
    <w:name w:val="Заголовок"/>
    <w:basedOn w:val="a"/>
    <w:next w:val="a5"/>
    <w:pPr>
      <w:keepNext/>
      <w:spacing w:before="240" w:after="120"/>
    </w:pPr>
    <w:rPr>
      <w:rFonts w:ascii="Arial" w:eastAsia="Microsoft YaHei" w:hAnsi="Arial"/>
      <w:sz w:val="28"/>
      <w:szCs w:val="28"/>
    </w:rPr>
  </w:style>
  <w:style w:type="paragraph" w:styleId="a5">
    <w:name w:val="Body Text"/>
    <w:basedOn w:val="a"/>
    <w:pPr>
      <w:spacing w:after="120"/>
    </w:pPr>
  </w:style>
  <w:style w:type="paragraph" w:styleId="a6">
    <w:name w:val="List"/>
    <w:basedOn w:val="a5"/>
  </w:style>
  <w:style w:type="paragraph" w:customStyle="1" w:styleId="a7">
    <w:name w:val="Название"/>
    <w:basedOn w:val="a"/>
    <w:pPr>
      <w:suppressLineNumbers/>
      <w:spacing w:before="120" w:after="120"/>
    </w:pPr>
    <w:rPr>
      <w:i/>
      <w:iCs/>
    </w:rPr>
  </w:style>
  <w:style w:type="paragraph" w:customStyle="1" w:styleId="a8">
    <w:name w:val="Указатель"/>
    <w:basedOn w:val="a"/>
    <w:pPr>
      <w:suppressLineNumbers/>
    </w:pPr>
  </w:style>
  <w:style w:type="paragraph" w:customStyle="1" w:styleId="rvps2">
    <w:name w:val="rvps2"/>
    <w:basedOn w:val="a"/>
    <w:pPr>
      <w:spacing w:before="280" w:after="280"/>
    </w:pPr>
  </w:style>
  <w:style w:type="paragraph" w:customStyle="1" w:styleId="21">
    <w:name w:val="Середня сітка 21"/>
    <w:pPr>
      <w:suppressAutoHyphens/>
    </w:pPr>
    <w:rPr>
      <w:kern w:val="1"/>
      <w:lang w:val="ru-RU" w:eastAsia="ar-SA"/>
    </w:rPr>
  </w:style>
  <w:style w:type="paragraph" w:customStyle="1" w:styleId="a9">
    <w:name w:val="Содержимое таблицы"/>
    <w:basedOn w:val="a"/>
    <w:pPr>
      <w:suppressLineNumbers/>
    </w:pPr>
  </w:style>
  <w:style w:type="paragraph" w:customStyle="1" w:styleId="aa">
    <w:name w:val="Заголовок таблицы"/>
    <w:basedOn w:val="a9"/>
    <w:pPr>
      <w:jc w:val="center"/>
    </w:pPr>
    <w:rPr>
      <w:b/>
      <w:bCs/>
    </w:rPr>
  </w:style>
  <w:style w:type="paragraph" w:styleId="ab">
    <w:name w:val="header"/>
    <w:basedOn w:val="a"/>
    <w:link w:val="ac"/>
    <w:uiPriority w:val="99"/>
    <w:unhideWhenUsed/>
    <w:rsid w:val="005C6CA8"/>
    <w:pPr>
      <w:tabs>
        <w:tab w:val="center" w:pos="4819"/>
        <w:tab w:val="right" w:pos="9639"/>
      </w:tabs>
    </w:pPr>
    <w:rPr>
      <w:rFonts w:cs="Mangal"/>
      <w:szCs w:val="21"/>
    </w:rPr>
  </w:style>
  <w:style w:type="character" w:customStyle="1" w:styleId="ac">
    <w:name w:val="Верхній колонтитул Знак"/>
    <w:link w:val="ab"/>
    <w:uiPriority w:val="99"/>
    <w:rsid w:val="005C6CA8"/>
    <w:rPr>
      <w:rFonts w:eastAsia="SimSun" w:cs="Mangal"/>
      <w:kern w:val="1"/>
      <w:sz w:val="24"/>
      <w:szCs w:val="21"/>
      <w:lang w:eastAsia="hi-IN" w:bidi="hi-IN"/>
    </w:rPr>
  </w:style>
  <w:style w:type="paragraph" w:styleId="ad">
    <w:name w:val="footer"/>
    <w:basedOn w:val="a"/>
    <w:link w:val="ae"/>
    <w:uiPriority w:val="99"/>
    <w:unhideWhenUsed/>
    <w:rsid w:val="005C6CA8"/>
    <w:pPr>
      <w:tabs>
        <w:tab w:val="center" w:pos="4819"/>
        <w:tab w:val="right" w:pos="9639"/>
      </w:tabs>
    </w:pPr>
    <w:rPr>
      <w:rFonts w:cs="Mangal"/>
      <w:szCs w:val="21"/>
    </w:rPr>
  </w:style>
  <w:style w:type="character" w:customStyle="1" w:styleId="ae">
    <w:name w:val="Нижній колонтитул Знак"/>
    <w:link w:val="ad"/>
    <w:uiPriority w:val="99"/>
    <w:rsid w:val="005C6CA8"/>
    <w:rPr>
      <w:rFonts w:eastAsia="SimSun" w:cs="Mangal"/>
      <w:kern w:val="1"/>
      <w:sz w:val="24"/>
      <w:szCs w:val="21"/>
      <w:lang w:eastAsia="hi-IN" w:bidi="hi-IN"/>
    </w:rPr>
  </w:style>
  <w:style w:type="paragraph" w:styleId="af">
    <w:name w:val="Balloon Text"/>
    <w:basedOn w:val="a"/>
    <w:link w:val="af0"/>
    <w:uiPriority w:val="99"/>
    <w:semiHidden/>
    <w:unhideWhenUsed/>
    <w:rsid w:val="005C6CA8"/>
    <w:rPr>
      <w:rFonts w:ascii="Segoe UI" w:hAnsi="Segoe UI" w:cs="Mangal"/>
      <w:sz w:val="18"/>
      <w:szCs w:val="16"/>
    </w:rPr>
  </w:style>
  <w:style w:type="character" w:customStyle="1" w:styleId="af0">
    <w:name w:val="Текст у виносці Знак"/>
    <w:link w:val="af"/>
    <w:uiPriority w:val="99"/>
    <w:semiHidden/>
    <w:rsid w:val="005C6CA8"/>
    <w:rPr>
      <w:rFonts w:ascii="Segoe UI" w:eastAsia="SimSun" w:hAnsi="Segoe UI" w:cs="Mangal"/>
      <w:kern w:val="1"/>
      <w:sz w:val="18"/>
      <w:szCs w:val="16"/>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9649</Words>
  <Characters>5500</Characters>
  <Application>Microsoft Office Word</Application>
  <DocSecurity>0</DocSecurity>
  <Lines>45</Lines>
  <Paragraphs>30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Дунда Олег Андрійович</dc:creator>
  <cp:keywords/>
  <cp:lastModifiedBy>Дунда Олег Андрійович</cp:lastModifiedBy>
  <cp:revision>2</cp:revision>
  <cp:lastPrinted>2020-03-25T13:29:00Z</cp:lastPrinted>
  <dcterms:created xsi:type="dcterms:W3CDTF">2020-03-25T14:03:00Z</dcterms:created>
  <dcterms:modified xsi:type="dcterms:W3CDTF">2020-03-25T14:03:00Z</dcterms:modified>
</cp:coreProperties>
</file>