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0BB1" w:rsidRPr="00BF0BB1" w:rsidRDefault="00BF0BB1" w:rsidP="00BF0BB1">
      <w:pPr>
        <w:widowControl w:val="0"/>
        <w:shd w:val="clear" w:color="auto" w:fill="FFFFFF"/>
        <w:tabs>
          <w:tab w:val="left" w:pos="950"/>
        </w:tabs>
        <w:spacing w:line="200" w:lineRule="atLeast"/>
        <w:jc w:val="center"/>
        <w:rPr>
          <w:rFonts w:ascii="Times New Roman" w:hAnsi="Times New Roman" w:cs="Times New Roman"/>
          <w:b/>
          <w:sz w:val="28"/>
          <w:szCs w:val="28"/>
        </w:rPr>
      </w:pPr>
      <w:r w:rsidRPr="00BF0BB1">
        <w:rPr>
          <w:rFonts w:ascii="Times New Roman" w:hAnsi="Times New Roman" w:cs="Times New Roman"/>
          <w:b/>
          <w:bCs/>
          <w:color w:val="000000"/>
          <w:sz w:val="28"/>
          <w:szCs w:val="28"/>
        </w:rPr>
        <w:t>ПОЯСНЮВАЛЬНА ЗАПИСКА</w:t>
      </w:r>
    </w:p>
    <w:p w:rsidR="00BF0BB1" w:rsidRPr="00BF0BB1" w:rsidRDefault="00BF0BB1" w:rsidP="00BF0BB1">
      <w:pPr>
        <w:tabs>
          <w:tab w:val="left" w:pos="950"/>
        </w:tabs>
        <w:spacing w:line="200" w:lineRule="atLeast"/>
        <w:jc w:val="center"/>
        <w:rPr>
          <w:rFonts w:ascii="Times New Roman" w:hAnsi="Times New Roman" w:cs="Times New Roman"/>
          <w:b/>
          <w:sz w:val="28"/>
          <w:szCs w:val="28"/>
        </w:rPr>
      </w:pPr>
      <w:r>
        <w:rPr>
          <w:rFonts w:ascii="Times New Roman" w:hAnsi="Times New Roman" w:cs="Times New Roman"/>
          <w:b/>
          <w:sz w:val="28"/>
          <w:szCs w:val="28"/>
        </w:rPr>
        <w:t>до прое</w:t>
      </w:r>
      <w:r w:rsidRPr="00BF0BB1">
        <w:rPr>
          <w:rFonts w:ascii="Times New Roman" w:hAnsi="Times New Roman" w:cs="Times New Roman"/>
          <w:b/>
          <w:sz w:val="28"/>
          <w:szCs w:val="28"/>
        </w:rPr>
        <w:t xml:space="preserve">кту Закону України </w:t>
      </w:r>
    </w:p>
    <w:p w:rsidR="00BF0BB1" w:rsidRPr="00BF0BB1" w:rsidRDefault="00BF0BB1" w:rsidP="00BF0BB1">
      <w:pPr>
        <w:tabs>
          <w:tab w:val="left" w:pos="950"/>
        </w:tabs>
        <w:spacing w:line="200" w:lineRule="atLeast"/>
        <w:jc w:val="center"/>
        <w:rPr>
          <w:rFonts w:ascii="Times New Roman" w:hAnsi="Times New Roman" w:cs="Times New Roman"/>
          <w:b/>
          <w:sz w:val="28"/>
          <w:szCs w:val="28"/>
        </w:rPr>
      </w:pPr>
      <w:r w:rsidRPr="00BF0BB1">
        <w:rPr>
          <w:rFonts w:ascii="Times New Roman" w:hAnsi="Times New Roman" w:cs="Times New Roman"/>
          <w:b/>
          <w:sz w:val="28"/>
          <w:szCs w:val="28"/>
        </w:rPr>
        <w:t>«Про внесення змін до законодавчих актів України щодо удосконалення деяких механізмів регулювання банківської діяльності»</w:t>
      </w:r>
    </w:p>
    <w:p w:rsidR="00BF0BB1" w:rsidRDefault="00BF0BB1" w:rsidP="00BF0BB1">
      <w:pPr>
        <w:spacing w:line="200" w:lineRule="atLeast"/>
        <w:ind w:firstLine="994"/>
        <w:jc w:val="both"/>
        <w:rPr>
          <w:rFonts w:ascii="Times New Roman" w:hAnsi="Times New Roman" w:cs="Times New Roman"/>
          <w:b/>
          <w:sz w:val="28"/>
          <w:szCs w:val="28"/>
        </w:rPr>
      </w:pPr>
    </w:p>
    <w:p w:rsidR="00BF0BB1" w:rsidRPr="00BF0BB1" w:rsidRDefault="00BF0BB1" w:rsidP="00BF0BB1">
      <w:pPr>
        <w:spacing w:line="200" w:lineRule="atLeast"/>
        <w:ind w:firstLine="994"/>
        <w:jc w:val="both"/>
        <w:rPr>
          <w:rFonts w:ascii="Times New Roman" w:hAnsi="Times New Roman" w:cs="Times New Roman"/>
          <w:b/>
          <w:sz w:val="28"/>
          <w:szCs w:val="28"/>
        </w:rPr>
      </w:pPr>
    </w:p>
    <w:p w:rsidR="00BF0BB1" w:rsidRPr="00BF0BB1" w:rsidRDefault="00BF0BB1" w:rsidP="00BF0BB1">
      <w:pPr>
        <w:pStyle w:val="a9"/>
        <w:numPr>
          <w:ilvl w:val="0"/>
          <w:numId w:val="3"/>
        </w:numPr>
        <w:spacing w:line="200" w:lineRule="atLeast"/>
        <w:jc w:val="both"/>
        <w:rPr>
          <w:rFonts w:ascii="Times New Roman" w:hAnsi="Times New Roman" w:cs="Times New Roman"/>
          <w:b/>
          <w:bCs/>
          <w:sz w:val="28"/>
          <w:szCs w:val="28"/>
        </w:rPr>
      </w:pPr>
      <w:r w:rsidRPr="00BF0BB1">
        <w:rPr>
          <w:rFonts w:ascii="Times New Roman" w:hAnsi="Times New Roman" w:cs="Times New Roman"/>
          <w:b/>
          <w:bCs/>
          <w:sz w:val="28"/>
          <w:szCs w:val="28"/>
        </w:rPr>
        <w:t>Обґрунтування н</w:t>
      </w:r>
      <w:r w:rsidRPr="00BF0BB1">
        <w:rPr>
          <w:rFonts w:ascii="Times New Roman" w:hAnsi="Times New Roman" w:cs="Times New Roman"/>
          <w:b/>
          <w:bCs/>
          <w:sz w:val="28"/>
          <w:szCs w:val="28"/>
        </w:rPr>
        <w:t>еобхідності прийняття законопрое</w:t>
      </w:r>
      <w:r w:rsidRPr="00BF0BB1">
        <w:rPr>
          <w:rFonts w:ascii="Times New Roman" w:hAnsi="Times New Roman" w:cs="Times New Roman"/>
          <w:b/>
          <w:bCs/>
          <w:sz w:val="28"/>
          <w:szCs w:val="28"/>
        </w:rPr>
        <w:t>кту</w:t>
      </w:r>
    </w:p>
    <w:p w:rsidR="00BF0BB1" w:rsidRPr="00BF0BB1" w:rsidRDefault="00BF0BB1" w:rsidP="00BF0BB1">
      <w:pPr>
        <w:pStyle w:val="a9"/>
        <w:spacing w:line="200" w:lineRule="atLeast"/>
        <w:ind w:left="1354"/>
        <w:jc w:val="both"/>
        <w:rPr>
          <w:rFonts w:ascii="Times New Roman" w:hAnsi="Times New Roman" w:cs="Times New Roman"/>
          <w:sz w:val="28"/>
          <w:szCs w:val="28"/>
        </w:rPr>
      </w:pPr>
    </w:p>
    <w:p w:rsidR="00BF0BB1" w:rsidRPr="00BF0BB1" w:rsidRDefault="00BF0BB1" w:rsidP="00BF0BB1">
      <w:pPr>
        <w:spacing w:line="200" w:lineRule="atLeast"/>
        <w:ind w:firstLine="994"/>
        <w:jc w:val="both"/>
        <w:rPr>
          <w:rFonts w:ascii="Times New Roman" w:hAnsi="Times New Roman" w:cs="Times New Roman"/>
          <w:sz w:val="28"/>
          <w:szCs w:val="28"/>
        </w:rPr>
      </w:pPr>
      <w:r>
        <w:rPr>
          <w:rFonts w:ascii="Times New Roman" w:hAnsi="Times New Roman" w:cs="Times New Roman"/>
          <w:sz w:val="28"/>
          <w:szCs w:val="28"/>
        </w:rPr>
        <w:t>Цей прое</w:t>
      </w:r>
      <w:r w:rsidRPr="00BF0BB1">
        <w:rPr>
          <w:rFonts w:ascii="Times New Roman" w:hAnsi="Times New Roman" w:cs="Times New Roman"/>
          <w:sz w:val="28"/>
          <w:szCs w:val="28"/>
        </w:rPr>
        <w:t>кт Закону України «Про внесення змін до законодавчих актів України щодо удосконалення деяких механізмів регулювання банківської діяльності» розро</w:t>
      </w:r>
      <w:r>
        <w:rPr>
          <w:rFonts w:ascii="Times New Roman" w:hAnsi="Times New Roman" w:cs="Times New Roman"/>
          <w:sz w:val="28"/>
          <w:szCs w:val="28"/>
        </w:rPr>
        <w:t>блений як альтернативний до прое</w:t>
      </w:r>
      <w:r w:rsidRPr="00BF0BB1">
        <w:rPr>
          <w:rFonts w:ascii="Times New Roman" w:hAnsi="Times New Roman" w:cs="Times New Roman"/>
          <w:sz w:val="28"/>
          <w:szCs w:val="28"/>
        </w:rPr>
        <w:t>кту Закону України "Про внесення змін до законодавчих актів України щодо удосконалення деяких механізмів регулювання банківської діяльності", що був зареєстрований 24.03.2020</w:t>
      </w:r>
      <w:r>
        <w:rPr>
          <w:rFonts w:ascii="Times New Roman" w:hAnsi="Times New Roman" w:cs="Times New Roman"/>
          <w:sz w:val="28"/>
          <w:szCs w:val="28"/>
        </w:rPr>
        <w:t xml:space="preserve"> за № 3260 (далі – основний проект або прое</w:t>
      </w:r>
      <w:r w:rsidRPr="00BF0BB1">
        <w:rPr>
          <w:rFonts w:ascii="Times New Roman" w:hAnsi="Times New Roman" w:cs="Times New Roman"/>
          <w:sz w:val="28"/>
          <w:szCs w:val="28"/>
        </w:rPr>
        <w:t>кт Закону №3260).</w:t>
      </w:r>
    </w:p>
    <w:p w:rsidR="00BF0BB1" w:rsidRPr="00BF0BB1" w:rsidRDefault="00BF0BB1" w:rsidP="00BF0BB1">
      <w:pPr>
        <w:spacing w:line="200" w:lineRule="atLeast"/>
        <w:ind w:firstLine="994"/>
        <w:jc w:val="both"/>
        <w:rPr>
          <w:rFonts w:ascii="Times New Roman" w:hAnsi="Times New Roman" w:cs="Times New Roman"/>
          <w:sz w:val="28"/>
          <w:szCs w:val="28"/>
        </w:rPr>
      </w:pPr>
      <w:r w:rsidRPr="00BF0BB1">
        <w:rPr>
          <w:rFonts w:ascii="Times New Roman" w:hAnsi="Times New Roman" w:cs="Times New Roman"/>
          <w:sz w:val="28"/>
          <w:szCs w:val="28"/>
        </w:rPr>
        <w:t>На сьогодні чинне законодавство України не дозволяє ефективно врегулювати питання стану, функціонування та/або діяльності банків, процес виведення яких з ринку та відповідні акти (рішення) Національного банку України (далі – Національний банк) та/або Фонду гарантування вкладів фізичних осіб (далі – Фонд) були оскаржені в судовому порядку.</w:t>
      </w:r>
      <w:bookmarkStart w:id="0" w:name="_GoBack"/>
      <w:bookmarkEnd w:id="0"/>
    </w:p>
    <w:p w:rsidR="00BF0BB1" w:rsidRPr="00BF0BB1" w:rsidRDefault="00BF0BB1" w:rsidP="00BF0BB1">
      <w:pPr>
        <w:spacing w:line="200" w:lineRule="atLeast"/>
        <w:ind w:firstLine="994"/>
        <w:jc w:val="both"/>
        <w:rPr>
          <w:rFonts w:ascii="Times New Roman" w:hAnsi="Times New Roman" w:cs="Times New Roman"/>
          <w:sz w:val="28"/>
          <w:szCs w:val="28"/>
        </w:rPr>
      </w:pPr>
      <w:r w:rsidRPr="00BF0BB1">
        <w:rPr>
          <w:rFonts w:ascii="Times New Roman" w:hAnsi="Times New Roman" w:cs="Times New Roman"/>
          <w:sz w:val="28"/>
          <w:szCs w:val="28"/>
        </w:rPr>
        <w:t>Водночас, альтернативний законопро</w:t>
      </w:r>
      <w:r>
        <w:rPr>
          <w:rFonts w:ascii="Times New Roman" w:hAnsi="Times New Roman" w:cs="Times New Roman"/>
          <w:sz w:val="28"/>
          <w:szCs w:val="28"/>
        </w:rPr>
        <w:t>ект, як і основний прое</w:t>
      </w:r>
      <w:r w:rsidRPr="00BF0BB1">
        <w:rPr>
          <w:rFonts w:ascii="Times New Roman" w:hAnsi="Times New Roman" w:cs="Times New Roman"/>
          <w:sz w:val="28"/>
          <w:szCs w:val="28"/>
        </w:rPr>
        <w:t>кт містить три блоки змін до законодавчих актів України:</w:t>
      </w:r>
    </w:p>
    <w:p w:rsidR="00BF0BB1" w:rsidRPr="00BF0BB1" w:rsidRDefault="00BF0BB1" w:rsidP="00BF0BB1">
      <w:pPr>
        <w:pStyle w:val="ListParagraph"/>
        <w:numPr>
          <w:ilvl w:val="0"/>
          <w:numId w:val="2"/>
        </w:numPr>
        <w:spacing w:line="200" w:lineRule="atLeast"/>
        <w:ind w:left="0" w:firstLine="994"/>
        <w:jc w:val="both"/>
      </w:pPr>
      <w:r w:rsidRPr="00BF0BB1">
        <w:t>удосконалення діяльності банків, зокрема, шляхом зміцнення корпоративного управління;</w:t>
      </w:r>
    </w:p>
    <w:p w:rsidR="00BF0BB1" w:rsidRPr="00BF0BB1" w:rsidRDefault="00BF0BB1" w:rsidP="00BF0BB1">
      <w:pPr>
        <w:pStyle w:val="ListParagraph"/>
        <w:numPr>
          <w:ilvl w:val="0"/>
          <w:numId w:val="2"/>
        </w:numPr>
        <w:spacing w:line="200" w:lineRule="atLeast"/>
        <w:ind w:left="0" w:firstLine="994"/>
        <w:jc w:val="both"/>
      </w:pPr>
      <w:r w:rsidRPr="00BF0BB1">
        <w:t>удосконалення законодавчих норм, які визначають особливості судового провадження у справах щодо виведення банків з ринку та</w:t>
      </w:r>
    </w:p>
    <w:p w:rsidR="00BF0BB1" w:rsidRPr="00BF0BB1" w:rsidRDefault="00BF0BB1" w:rsidP="00BF0BB1">
      <w:pPr>
        <w:pStyle w:val="ListParagraph"/>
        <w:numPr>
          <w:ilvl w:val="0"/>
          <w:numId w:val="2"/>
        </w:numPr>
        <w:spacing w:line="200" w:lineRule="atLeast"/>
        <w:ind w:left="0" w:firstLine="994"/>
        <w:jc w:val="both"/>
      </w:pPr>
      <w:r w:rsidRPr="00BF0BB1">
        <w:t>удосконалення законодавчих норм, що визначають оновлені механізми виведення банків з ринку, які спрямовані на удосконалення ліквідаційної процедури та задоволення вимог (відшкодування шкоди), максимальної кількості кредиторів банку, що ліквідується, а також удосконалення механізмів можливої участі держави у виведенні банку з ринку.</w:t>
      </w:r>
    </w:p>
    <w:p w:rsidR="00BF0BB1" w:rsidRPr="00BF0BB1" w:rsidRDefault="00BF0BB1" w:rsidP="00BF0BB1">
      <w:pPr>
        <w:spacing w:line="200" w:lineRule="atLeast"/>
        <w:ind w:firstLine="994"/>
        <w:jc w:val="both"/>
        <w:rPr>
          <w:rFonts w:ascii="Times New Roman" w:hAnsi="Times New Roman" w:cs="Times New Roman"/>
          <w:b/>
          <w:bCs/>
          <w:sz w:val="28"/>
          <w:szCs w:val="28"/>
        </w:rPr>
      </w:pPr>
      <w:r w:rsidRPr="00BF0BB1">
        <w:rPr>
          <w:rFonts w:ascii="Times New Roman" w:hAnsi="Times New Roman" w:cs="Times New Roman"/>
          <w:sz w:val="28"/>
          <w:szCs w:val="28"/>
        </w:rPr>
        <w:t>Однак, поряд з необхідністю вжиття заходів із законодавчого врегулювання вказаних суспільних правовідносин, слід не допустити порушення окрем</w:t>
      </w:r>
      <w:r>
        <w:rPr>
          <w:rFonts w:ascii="Times New Roman" w:hAnsi="Times New Roman" w:cs="Times New Roman"/>
          <w:sz w:val="28"/>
          <w:szCs w:val="28"/>
        </w:rPr>
        <w:t>ими нормами основного законопрое</w:t>
      </w:r>
      <w:r w:rsidRPr="00BF0BB1">
        <w:rPr>
          <w:rFonts w:ascii="Times New Roman" w:hAnsi="Times New Roman" w:cs="Times New Roman"/>
          <w:sz w:val="28"/>
          <w:szCs w:val="28"/>
        </w:rPr>
        <w:t>кту ключових конституційних положень.</w:t>
      </w:r>
    </w:p>
    <w:p w:rsidR="00BF0BB1" w:rsidRDefault="00BF0BB1" w:rsidP="00BF0BB1">
      <w:pPr>
        <w:spacing w:line="200" w:lineRule="atLeast"/>
        <w:ind w:firstLine="994"/>
        <w:jc w:val="both"/>
        <w:rPr>
          <w:rFonts w:ascii="Times New Roman" w:hAnsi="Times New Roman" w:cs="Times New Roman"/>
          <w:b/>
          <w:bCs/>
          <w:sz w:val="28"/>
          <w:szCs w:val="28"/>
        </w:rPr>
      </w:pPr>
    </w:p>
    <w:p w:rsidR="00BF0BB1" w:rsidRPr="00BF0BB1" w:rsidRDefault="00BF0BB1" w:rsidP="00BF0BB1">
      <w:pPr>
        <w:pStyle w:val="a9"/>
        <w:numPr>
          <w:ilvl w:val="0"/>
          <w:numId w:val="3"/>
        </w:numPr>
        <w:spacing w:line="200" w:lineRule="atLeast"/>
        <w:jc w:val="both"/>
        <w:rPr>
          <w:rFonts w:ascii="Times New Roman" w:hAnsi="Times New Roman" w:cs="Times New Roman"/>
          <w:b/>
          <w:bCs/>
          <w:color w:val="000000"/>
          <w:sz w:val="28"/>
          <w:szCs w:val="28"/>
        </w:rPr>
      </w:pPr>
      <w:r w:rsidRPr="00BF0BB1">
        <w:rPr>
          <w:rFonts w:ascii="Times New Roman" w:hAnsi="Times New Roman" w:cs="Times New Roman"/>
          <w:b/>
          <w:bCs/>
          <w:color w:val="000000"/>
          <w:sz w:val="28"/>
          <w:szCs w:val="28"/>
        </w:rPr>
        <w:t>Мета</w:t>
      </w:r>
      <w:r w:rsidRPr="00BF0BB1">
        <w:rPr>
          <w:rFonts w:ascii="Times New Roman" w:hAnsi="Times New Roman" w:cs="Times New Roman"/>
          <w:b/>
          <w:bCs/>
          <w:color w:val="000000"/>
          <w:sz w:val="28"/>
          <w:szCs w:val="28"/>
        </w:rPr>
        <w:t xml:space="preserve"> і завдання прийняття законопрое</w:t>
      </w:r>
      <w:r w:rsidRPr="00BF0BB1">
        <w:rPr>
          <w:rFonts w:ascii="Times New Roman" w:hAnsi="Times New Roman" w:cs="Times New Roman"/>
          <w:b/>
          <w:bCs/>
          <w:color w:val="000000"/>
          <w:sz w:val="28"/>
          <w:szCs w:val="28"/>
        </w:rPr>
        <w:t>кту</w:t>
      </w:r>
    </w:p>
    <w:p w:rsidR="00BF0BB1" w:rsidRPr="00BF0BB1" w:rsidRDefault="00BF0BB1" w:rsidP="00BF0BB1">
      <w:pPr>
        <w:pStyle w:val="a9"/>
        <w:spacing w:line="200" w:lineRule="atLeast"/>
        <w:ind w:left="1354"/>
        <w:jc w:val="both"/>
        <w:rPr>
          <w:rFonts w:ascii="Times New Roman" w:hAnsi="Times New Roman" w:cs="Times New Roman"/>
          <w:sz w:val="28"/>
          <w:szCs w:val="28"/>
        </w:rPr>
      </w:pPr>
    </w:p>
    <w:p w:rsidR="00BF0BB1" w:rsidRPr="00BF0BB1" w:rsidRDefault="00BF0BB1" w:rsidP="00BF0BB1">
      <w:pPr>
        <w:spacing w:line="200" w:lineRule="atLeast"/>
        <w:ind w:firstLine="994"/>
        <w:jc w:val="both"/>
        <w:rPr>
          <w:rFonts w:ascii="Times New Roman" w:hAnsi="Times New Roman" w:cs="Times New Roman"/>
          <w:sz w:val="28"/>
          <w:szCs w:val="28"/>
        </w:rPr>
      </w:pPr>
      <w:r>
        <w:rPr>
          <w:rFonts w:ascii="Times New Roman" w:hAnsi="Times New Roman" w:cs="Times New Roman"/>
          <w:sz w:val="28"/>
          <w:szCs w:val="28"/>
        </w:rPr>
        <w:t>Цей проект Закону як і основний прое</w:t>
      </w:r>
      <w:r w:rsidRPr="00BF0BB1">
        <w:rPr>
          <w:rFonts w:ascii="Times New Roman" w:hAnsi="Times New Roman" w:cs="Times New Roman"/>
          <w:sz w:val="28"/>
          <w:szCs w:val="28"/>
        </w:rPr>
        <w:t xml:space="preserve">кт має своєю метою підвищення якості та ефективності виконання Національним банком України своїх функцій у сфері банківського регулювання та нагляду, забезпечення сприятливих умов для ефективного виконання законодавчо закріплених повноважень </w:t>
      </w:r>
      <w:r w:rsidRPr="00BF0BB1">
        <w:rPr>
          <w:rFonts w:ascii="Times New Roman" w:hAnsi="Times New Roman" w:cs="Times New Roman"/>
          <w:sz w:val="28"/>
          <w:szCs w:val="28"/>
        </w:rPr>
        <w:lastRenderedPageBreak/>
        <w:t>Національного банку, Фонду, Кабінету Міністрів України, Міністерства фінансів України при прийнятті ними рішень щодо виведення банків з ринку. Однак, в той же час, є його альтернативною, виправленою та доповненою версією.</w:t>
      </w:r>
    </w:p>
    <w:p w:rsidR="00BF0BB1" w:rsidRPr="00BF0BB1" w:rsidRDefault="00BF0BB1" w:rsidP="00BF0BB1">
      <w:pPr>
        <w:spacing w:line="200" w:lineRule="atLeast"/>
        <w:ind w:firstLine="994"/>
        <w:jc w:val="both"/>
        <w:rPr>
          <w:rFonts w:ascii="Times New Roman" w:hAnsi="Times New Roman" w:cs="Times New Roman"/>
          <w:sz w:val="28"/>
          <w:szCs w:val="28"/>
        </w:rPr>
      </w:pPr>
      <w:r>
        <w:rPr>
          <w:rFonts w:ascii="Times New Roman" w:hAnsi="Times New Roman" w:cs="Times New Roman"/>
          <w:sz w:val="28"/>
          <w:szCs w:val="28"/>
        </w:rPr>
        <w:t>Цей альтернативний законопрое</w:t>
      </w:r>
      <w:r w:rsidRPr="00BF0BB1">
        <w:rPr>
          <w:rFonts w:ascii="Times New Roman" w:hAnsi="Times New Roman" w:cs="Times New Roman"/>
          <w:sz w:val="28"/>
          <w:szCs w:val="28"/>
        </w:rPr>
        <w:t>кт має своєю метою виключення сумнів</w:t>
      </w:r>
      <w:r>
        <w:rPr>
          <w:rFonts w:ascii="Times New Roman" w:hAnsi="Times New Roman" w:cs="Times New Roman"/>
          <w:sz w:val="28"/>
          <w:szCs w:val="28"/>
        </w:rPr>
        <w:t>них норм, які мають місце в прое</w:t>
      </w:r>
      <w:r w:rsidRPr="00BF0BB1">
        <w:rPr>
          <w:rFonts w:ascii="Times New Roman" w:hAnsi="Times New Roman" w:cs="Times New Roman"/>
          <w:sz w:val="28"/>
          <w:szCs w:val="28"/>
        </w:rPr>
        <w:t>кті Закону № 3260, в тому числі, в частині встановлення чітких законодавчих приписів щодо неможливості зупинення або припинення розпочатих на підставі рішень  Національного банку та Фонду процедур.</w:t>
      </w:r>
    </w:p>
    <w:p w:rsidR="00BF0BB1" w:rsidRPr="00BF0BB1" w:rsidRDefault="00BF0BB1" w:rsidP="00BF0BB1">
      <w:pPr>
        <w:spacing w:line="200" w:lineRule="atLeast"/>
        <w:ind w:firstLine="994"/>
        <w:jc w:val="both"/>
        <w:rPr>
          <w:rFonts w:ascii="Times New Roman" w:hAnsi="Times New Roman" w:cs="Times New Roman"/>
          <w:sz w:val="28"/>
          <w:szCs w:val="28"/>
        </w:rPr>
      </w:pPr>
      <w:r w:rsidRPr="00BF0BB1">
        <w:rPr>
          <w:rFonts w:ascii="Times New Roman" w:hAnsi="Times New Roman" w:cs="Times New Roman"/>
          <w:sz w:val="28"/>
          <w:szCs w:val="28"/>
        </w:rPr>
        <w:t xml:space="preserve">Іншою метою </w:t>
      </w:r>
      <w:r>
        <w:rPr>
          <w:rFonts w:ascii="Times New Roman" w:hAnsi="Times New Roman" w:cs="Times New Roman"/>
          <w:sz w:val="28"/>
          <w:szCs w:val="28"/>
        </w:rPr>
        <w:t>цього альтернативного законопрое</w:t>
      </w:r>
      <w:r w:rsidRPr="00BF0BB1">
        <w:rPr>
          <w:rFonts w:ascii="Times New Roman" w:hAnsi="Times New Roman" w:cs="Times New Roman"/>
          <w:sz w:val="28"/>
          <w:szCs w:val="28"/>
        </w:rPr>
        <w:t xml:space="preserve">кту є виконання вимог Угоди про асоціацію між Україною, втілення європейських стандартів, досягнення стабільності і дієвості демократичних інституцій, збереження принципу верховенства права та забезпечення поваги до прав людини та її основоположних свобод.  </w:t>
      </w:r>
    </w:p>
    <w:p w:rsidR="00BF0BB1" w:rsidRPr="00BF0BB1" w:rsidRDefault="00BF0BB1" w:rsidP="00BF0BB1">
      <w:pPr>
        <w:spacing w:line="200" w:lineRule="atLeast"/>
        <w:ind w:firstLine="994"/>
        <w:jc w:val="both"/>
        <w:rPr>
          <w:rFonts w:ascii="Times New Roman" w:hAnsi="Times New Roman" w:cs="Times New Roman"/>
          <w:sz w:val="28"/>
          <w:szCs w:val="28"/>
        </w:rPr>
      </w:pPr>
      <w:r w:rsidRPr="00BF0BB1">
        <w:rPr>
          <w:rFonts w:ascii="Times New Roman" w:hAnsi="Times New Roman" w:cs="Times New Roman"/>
          <w:sz w:val="28"/>
          <w:szCs w:val="28"/>
        </w:rPr>
        <w:t>Доопрацюванн</w:t>
      </w:r>
      <w:r>
        <w:rPr>
          <w:rFonts w:ascii="Times New Roman" w:hAnsi="Times New Roman" w:cs="Times New Roman"/>
          <w:sz w:val="28"/>
          <w:szCs w:val="28"/>
        </w:rPr>
        <w:t>я та зміни, які містить цей прое</w:t>
      </w:r>
      <w:r w:rsidRPr="00BF0BB1">
        <w:rPr>
          <w:rFonts w:ascii="Times New Roman" w:hAnsi="Times New Roman" w:cs="Times New Roman"/>
          <w:sz w:val="28"/>
          <w:szCs w:val="28"/>
        </w:rPr>
        <w:t>кт Закону, усувають суперечності та порушення ключових конституційних принципів правової систем</w:t>
      </w:r>
      <w:r>
        <w:rPr>
          <w:rFonts w:ascii="Times New Roman" w:hAnsi="Times New Roman" w:cs="Times New Roman"/>
          <w:sz w:val="28"/>
          <w:szCs w:val="28"/>
        </w:rPr>
        <w:t>и України, що мають місце у прое</w:t>
      </w:r>
      <w:r w:rsidRPr="00BF0BB1">
        <w:rPr>
          <w:rFonts w:ascii="Times New Roman" w:hAnsi="Times New Roman" w:cs="Times New Roman"/>
          <w:sz w:val="28"/>
          <w:szCs w:val="28"/>
        </w:rPr>
        <w:t>кті Закону № 3260,   залишаючи, при цьому, основні зміни та нововведення до чинного законодавства, спрямовані на виконання в</w:t>
      </w:r>
      <w:r>
        <w:rPr>
          <w:rFonts w:ascii="Times New Roman" w:hAnsi="Times New Roman" w:cs="Times New Roman"/>
          <w:sz w:val="28"/>
          <w:szCs w:val="28"/>
        </w:rPr>
        <w:t>казаної вище мети основного прое</w:t>
      </w:r>
      <w:r w:rsidRPr="00BF0BB1">
        <w:rPr>
          <w:rFonts w:ascii="Times New Roman" w:hAnsi="Times New Roman" w:cs="Times New Roman"/>
          <w:sz w:val="28"/>
          <w:szCs w:val="28"/>
        </w:rPr>
        <w:t>кту.</w:t>
      </w:r>
    </w:p>
    <w:p w:rsidR="00BF0BB1" w:rsidRPr="00BF0BB1" w:rsidRDefault="00BF0BB1" w:rsidP="00BF0BB1">
      <w:pPr>
        <w:spacing w:line="200" w:lineRule="atLeast"/>
        <w:ind w:firstLine="994"/>
        <w:jc w:val="both"/>
        <w:rPr>
          <w:rFonts w:ascii="Times New Roman" w:hAnsi="Times New Roman" w:cs="Times New Roman"/>
          <w:sz w:val="28"/>
          <w:szCs w:val="28"/>
        </w:rPr>
      </w:pPr>
      <w:r w:rsidRPr="00BF0BB1">
        <w:rPr>
          <w:rFonts w:ascii="Times New Roman" w:hAnsi="Times New Roman" w:cs="Times New Roman"/>
          <w:sz w:val="28"/>
          <w:szCs w:val="28"/>
        </w:rPr>
        <w:t xml:space="preserve">Завданням </w:t>
      </w:r>
      <w:r>
        <w:rPr>
          <w:rFonts w:ascii="Times New Roman" w:hAnsi="Times New Roman" w:cs="Times New Roman"/>
          <w:sz w:val="28"/>
          <w:szCs w:val="28"/>
        </w:rPr>
        <w:t>цього альтернативного законопрое</w:t>
      </w:r>
      <w:r w:rsidRPr="00BF0BB1">
        <w:rPr>
          <w:rFonts w:ascii="Times New Roman" w:hAnsi="Times New Roman" w:cs="Times New Roman"/>
          <w:sz w:val="28"/>
          <w:szCs w:val="28"/>
        </w:rPr>
        <w:t>кту залишаються захист інтересів вкладників та інших кредиторів банку, в тому числі, щодо яких в судовому порядку скасовано рішення Національного банку про віднесення банку до категорії неплатоспроможних та/або відкликання банківської ліцензії та ліквідацію банку.</w:t>
      </w:r>
    </w:p>
    <w:p w:rsidR="00BF0BB1" w:rsidRDefault="00BF0BB1" w:rsidP="00BF0BB1">
      <w:pPr>
        <w:spacing w:line="200" w:lineRule="atLeast"/>
        <w:ind w:firstLine="994"/>
        <w:jc w:val="both"/>
        <w:rPr>
          <w:rFonts w:ascii="Times New Roman" w:hAnsi="Times New Roman" w:cs="Times New Roman"/>
          <w:sz w:val="28"/>
          <w:szCs w:val="28"/>
        </w:rPr>
      </w:pPr>
    </w:p>
    <w:p w:rsidR="00BF0BB1" w:rsidRPr="00BF0BB1" w:rsidRDefault="00BF0BB1" w:rsidP="00BF0BB1">
      <w:pPr>
        <w:spacing w:line="200" w:lineRule="atLeast"/>
        <w:ind w:firstLine="994"/>
        <w:jc w:val="both"/>
        <w:rPr>
          <w:rFonts w:ascii="Times New Roman" w:hAnsi="Times New Roman" w:cs="Times New Roman"/>
          <w:sz w:val="28"/>
          <w:szCs w:val="28"/>
        </w:rPr>
      </w:pPr>
    </w:p>
    <w:p w:rsidR="00BF0BB1" w:rsidRPr="00BF0BB1" w:rsidRDefault="00BF0BB1" w:rsidP="00BF0BB1">
      <w:pPr>
        <w:pStyle w:val="a9"/>
        <w:numPr>
          <w:ilvl w:val="0"/>
          <w:numId w:val="3"/>
        </w:numPr>
        <w:spacing w:line="200" w:lineRule="atLeast"/>
        <w:jc w:val="both"/>
        <w:rPr>
          <w:rFonts w:ascii="Times New Roman" w:hAnsi="Times New Roman" w:cs="Times New Roman"/>
          <w:b/>
          <w:bCs/>
          <w:color w:val="000000"/>
          <w:sz w:val="28"/>
          <w:szCs w:val="28"/>
        </w:rPr>
      </w:pPr>
      <w:r w:rsidRPr="00BF0BB1">
        <w:rPr>
          <w:rFonts w:ascii="Times New Roman" w:hAnsi="Times New Roman" w:cs="Times New Roman"/>
          <w:b/>
          <w:bCs/>
          <w:color w:val="000000"/>
          <w:sz w:val="28"/>
          <w:szCs w:val="28"/>
        </w:rPr>
        <w:t>Загальна характе</w:t>
      </w:r>
      <w:r w:rsidRPr="00BF0BB1">
        <w:rPr>
          <w:rFonts w:ascii="Times New Roman" w:hAnsi="Times New Roman" w:cs="Times New Roman"/>
          <w:b/>
          <w:bCs/>
          <w:color w:val="000000"/>
          <w:sz w:val="28"/>
          <w:szCs w:val="28"/>
        </w:rPr>
        <w:t>ристика і основні положення прое</w:t>
      </w:r>
      <w:r w:rsidRPr="00BF0BB1">
        <w:rPr>
          <w:rFonts w:ascii="Times New Roman" w:hAnsi="Times New Roman" w:cs="Times New Roman"/>
          <w:b/>
          <w:bCs/>
          <w:color w:val="000000"/>
          <w:sz w:val="28"/>
          <w:szCs w:val="28"/>
        </w:rPr>
        <w:t>кту Закону</w:t>
      </w:r>
    </w:p>
    <w:p w:rsidR="00BF0BB1" w:rsidRPr="00BF0BB1" w:rsidRDefault="00BF0BB1" w:rsidP="00BF0BB1">
      <w:pPr>
        <w:pStyle w:val="a9"/>
        <w:spacing w:line="200" w:lineRule="atLeast"/>
        <w:ind w:left="1354"/>
        <w:jc w:val="both"/>
        <w:rPr>
          <w:rFonts w:ascii="Times New Roman" w:hAnsi="Times New Roman" w:cs="Times New Roman"/>
          <w:bCs/>
          <w:color w:val="000000"/>
          <w:sz w:val="28"/>
          <w:szCs w:val="28"/>
        </w:rPr>
      </w:pPr>
    </w:p>
    <w:p w:rsidR="00BF0BB1" w:rsidRPr="00BF0BB1" w:rsidRDefault="00BF0BB1" w:rsidP="00BF0BB1">
      <w:pPr>
        <w:spacing w:line="200" w:lineRule="atLeast"/>
        <w:ind w:firstLine="994"/>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Окремими положеннями прое</w:t>
      </w:r>
      <w:r w:rsidRPr="00BF0BB1">
        <w:rPr>
          <w:rFonts w:ascii="Times New Roman" w:hAnsi="Times New Roman" w:cs="Times New Roman"/>
          <w:bCs/>
          <w:color w:val="000000"/>
          <w:sz w:val="28"/>
          <w:szCs w:val="28"/>
        </w:rPr>
        <w:t>кту Закону № 3260 пропонується суттєво звузити конституційне право особи на оскарження в суді рішень, дій чи бездіяльності органів державної влади, а саме Національного банку, Кабінету Міністрів України та Міністерства фінансів України, особа позбавляється права на ефективний засіб юридичного захисту, передбаченого Конвенцією про захист прав людини і основоположних свобод.</w:t>
      </w:r>
    </w:p>
    <w:p w:rsidR="00BF0BB1" w:rsidRPr="00BF0BB1" w:rsidRDefault="00BF0BB1" w:rsidP="00BF0BB1">
      <w:pPr>
        <w:spacing w:line="200" w:lineRule="atLeast"/>
        <w:ind w:firstLine="994"/>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Тобто, прое</w:t>
      </w:r>
      <w:r w:rsidRPr="00BF0BB1">
        <w:rPr>
          <w:rFonts w:ascii="Times New Roman" w:hAnsi="Times New Roman" w:cs="Times New Roman"/>
          <w:bCs/>
          <w:color w:val="000000"/>
          <w:sz w:val="28"/>
          <w:szCs w:val="28"/>
        </w:rPr>
        <w:t>ктом Закону № 3260 право на ефективний засіб позбавляється юридичного захисту внаслідок розпочатої процедури виведення неплатоспроможного банку з ринку та/або ліквідації банку, які розпочались на підставі протиправних рішень органів державної влади та державних установ. Це є грубим порушенням і Конституції України, і Конвенції про захист прав людини і основоположних свобод.</w:t>
      </w:r>
    </w:p>
    <w:p w:rsidR="00BF0BB1" w:rsidRPr="00BF0BB1" w:rsidRDefault="00BF0BB1" w:rsidP="00BF0BB1">
      <w:pPr>
        <w:spacing w:line="200" w:lineRule="atLeast"/>
        <w:ind w:firstLine="994"/>
        <w:jc w:val="both"/>
        <w:rPr>
          <w:rFonts w:ascii="Times New Roman" w:hAnsi="Times New Roman" w:cs="Times New Roman"/>
          <w:bCs/>
          <w:color w:val="000000"/>
          <w:sz w:val="28"/>
          <w:szCs w:val="28"/>
        </w:rPr>
      </w:pPr>
      <w:r w:rsidRPr="00BF0BB1">
        <w:rPr>
          <w:rFonts w:ascii="Times New Roman" w:hAnsi="Times New Roman" w:cs="Times New Roman"/>
          <w:bCs/>
          <w:color w:val="000000"/>
          <w:sz w:val="28"/>
          <w:szCs w:val="28"/>
        </w:rPr>
        <w:lastRenderedPageBreak/>
        <w:t>Зміни до положень чинного зак</w:t>
      </w:r>
      <w:r>
        <w:rPr>
          <w:rFonts w:ascii="Times New Roman" w:hAnsi="Times New Roman" w:cs="Times New Roman"/>
          <w:bCs/>
          <w:color w:val="000000"/>
          <w:sz w:val="28"/>
          <w:szCs w:val="28"/>
        </w:rPr>
        <w:t>онодавства, запропоновані в прое</w:t>
      </w:r>
      <w:r w:rsidRPr="00BF0BB1">
        <w:rPr>
          <w:rFonts w:ascii="Times New Roman" w:hAnsi="Times New Roman" w:cs="Times New Roman"/>
          <w:bCs/>
          <w:color w:val="000000"/>
          <w:sz w:val="28"/>
          <w:szCs w:val="28"/>
        </w:rPr>
        <w:t>кті Закону № 3260, суперечать закріпленому конституційному принципу «права на судовий захист», якій міститься в статті 55 Конституції України.</w:t>
      </w:r>
    </w:p>
    <w:p w:rsidR="00BF0BB1" w:rsidRPr="00BF0BB1" w:rsidRDefault="00BF0BB1" w:rsidP="00BF0BB1">
      <w:pPr>
        <w:spacing w:line="200" w:lineRule="atLeast"/>
        <w:ind w:firstLine="994"/>
        <w:jc w:val="both"/>
        <w:rPr>
          <w:rFonts w:ascii="Times New Roman" w:hAnsi="Times New Roman" w:cs="Times New Roman"/>
          <w:bCs/>
          <w:color w:val="000000"/>
          <w:sz w:val="28"/>
          <w:szCs w:val="28"/>
        </w:rPr>
      </w:pPr>
      <w:r w:rsidRPr="00BF0BB1">
        <w:rPr>
          <w:rFonts w:ascii="Times New Roman" w:hAnsi="Times New Roman" w:cs="Times New Roman"/>
          <w:bCs/>
          <w:color w:val="000000"/>
          <w:sz w:val="28"/>
          <w:szCs w:val="28"/>
        </w:rPr>
        <w:t>Зокрема, статті 55 Конституції України встановлює, що кожному гарантується право на оскарження в суді рішень, дій чи бездіяльності органів державної влади, органів місцевого самоврядування, посадових і службових осіб.</w:t>
      </w:r>
    </w:p>
    <w:p w:rsidR="00BF0BB1" w:rsidRPr="00BF0BB1" w:rsidRDefault="00BF0BB1" w:rsidP="00BF0BB1">
      <w:pPr>
        <w:spacing w:line="200" w:lineRule="atLeast"/>
        <w:ind w:firstLine="994"/>
        <w:jc w:val="both"/>
        <w:rPr>
          <w:rFonts w:ascii="Times New Roman" w:hAnsi="Times New Roman" w:cs="Times New Roman"/>
          <w:bCs/>
          <w:color w:val="000000"/>
          <w:sz w:val="28"/>
          <w:szCs w:val="28"/>
        </w:rPr>
      </w:pPr>
      <w:r w:rsidRPr="00BF0BB1">
        <w:rPr>
          <w:rFonts w:ascii="Times New Roman" w:hAnsi="Times New Roman" w:cs="Times New Roman"/>
          <w:bCs/>
          <w:color w:val="000000"/>
          <w:sz w:val="28"/>
          <w:szCs w:val="28"/>
        </w:rPr>
        <w:t>Європейський суд з прав людини у своїх рішеннях неодноразово підкреслював необхідність ефективного захисту прав заявників.</w:t>
      </w:r>
    </w:p>
    <w:p w:rsidR="00BF0BB1" w:rsidRPr="00BF0BB1" w:rsidRDefault="00BF0BB1" w:rsidP="00BF0BB1">
      <w:pPr>
        <w:spacing w:line="200" w:lineRule="atLeast"/>
        <w:ind w:firstLine="994"/>
        <w:jc w:val="both"/>
        <w:rPr>
          <w:rFonts w:ascii="Times New Roman" w:hAnsi="Times New Roman" w:cs="Times New Roman"/>
          <w:bCs/>
          <w:color w:val="000000"/>
          <w:sz w:val="28"/>
          <w:szCs w:val="28"/>
        </w:rPr>
      </w:pPr>
      <w:r w:rsidRPr="00BF0BB1">
        <w:rPr>
          <w:rFonts w:ascii="Times New Roman" w:hAnsi="Times New Roman" w:cs="Times New Roman"/>
          <w:bCs/>
          <w:color w:val="000000"/>
          <w:sz w:val="28"/>
          <w:szCs w:val="28"/>
        </w:rPr>
        <w:t>Наприклад, у пункті 75 рішення від 05.04.2005 у справі « Афанасьєв проти України (заява № 38722/02) Європейський суд з прав людини зазначає, що засіб захисту, який вимагається згаданою статтею, повинен бути «ефективним», як у законів, так і  на практиці, зокрема, у сенсі, щоб його використання не було  ускладненим діями або недоглядом органів влади відповідної держави.</w:t>
      </w:r>
    </w:p>
    <w:p w:rsidR="00BF0BB1" w:rsidRPr="00BF0BB1" w:rsidRDefault="00BF0BB1" w:rsidP="00BF0BB1">
      <w:pPr>
        <w:spacing w:line="200" w:lineRule="atLeast"/>
        <w:ind w:firstLine="994"/>
        <w:jc w:val="both"/>
        <w:rPr>
          <w:rFonts w:ascii="Times New Roman" w:hAnsi="Times New Roman" w:cs="Times New Roman"/>
          <w:bCs/>
          <w:color w:val="000000"/>
          <w:sz w:val="28"/>
          <w:szCs w:val="28"/>
        </w:rPr>
      </w:pPr>
      <w:r w:rsidRPr="00BF0BB1">
        <w:rPr>
          <w:rFonts w:ascii="Times New Roman" w:hAnsi="Times New Roman" w:cs="Times New Roman"/>
          <w:bCs/>
          <w:color w:val="000000"/>
          <w:sz w:val="28"/>
          <w:szCs w:val="28"/>
        </w:rPr>
        <w:t>Європейський суд з прав людини у своїй практиці наголошує на тому, що право на розгляд справи означає право особи звернутися до суду та право на те, що його справа буде розглянута та вирішена судом. При цьому, особі має бути забезпечена можливість реалізувати вказані права без будь-яких перепон чи ускладнень. Здатність особи безперешкодно отримати судовий захист є змістом поняття доступу до правосуддя. Перешкоди у доступі до правосуддя можуть виникати як через особливості внутрішнього процесуального законодавства, так і через передбачені матеріальним правом обмеження. Для Європейського суду з прав людини природа перешкод у реалізації права на доступ до суду не має принципового значення.</w:t>
      </w:r>
    </w:p>
    <w:p w:rsidR="00BF0BB1" w:rsidRPr="00BF0BB1" w:rsidRDefault="00BF0BB1" w:rsidP="00BF0BB1">
      <w:pPr>
        <w:spacing w:line="200" w:lineRule="atLeast"/>
        <w:ind w:firstLine="994"/>
        <w:jc w:val="both"/>
        <w:rPr>
          <w:rFonts w:ascii="Times New Roman" w:hAnsi="Times New Roman" w:cs="Times New Roman"/>
          <w:bCs/>
          <w:color w:val="000000"/>
          <w:sz w:val="28"/>
          <w:szCs w:val="28"/>
        </w:rPr>
      </w:pPr>
      <w:r w:rsidRPr="00BF0BB1">
        <w:rPr>
          <w:rFonts w:ascii="Times New Roman" w:hAnsi="Times New Roman" w:cs="Times New Roman"/>
          <w:bCs/>
          <w:color w:val="000000"/>
          <w:sz w:val="28"/>
          <w:szCs w:val="28"/>
        </w:rPr>
        <w:t>Конституційний Суд України неодноразово та безапеляційно надавав свої висновки щодо обов’язковості дії  конституційного принципу права на судовий захист, власне як і на ефективного права на судовий захист, зокрема, визначивши наступне.</w:t>
      </w:r>
    </w:p>
    <w:p w:rsidR="00BF0BB1" w:rsidRPr="00BF0BB1" w:rsidRDefault="00BF0BB1" w:rsidP="00BF0BB1">
      <w:pPr>
        <w:spacing w:line="200" w:lineRule="atLeast"/>
        <w:ind w:firstLine="994"/>
        <w:jc w:val="both"/>
        <w:rPr>
          <w:rFonts w:ascii="Times New Roman" w:hAnsi="Times New Roman" w:cs="Times New Roman"/>
          <w:bCs/>
          <w:color w:val="000000"/>
          <w:sz w:val="28"/>
          <w:szCs w:val="28"/>
        </w:rPr>
      </w:pPr>
      <w:r w:rsidRPr="00BF0BB1">
        <w:rPr>
          <w:rFonts w:ascii="Times New Roman" w:hAnsi="Times New Roman" w:cs="Times New Roman"/>
          <w:bCs/>
          <w:color w:val="000000"/>
          <w:sz w:val="28"/>
          <w:szCs w:val="28"/>
        </w:rPr>
        <w:t>Правосуддя за своєю суттю визнається таким лише за умови, що воно відповідає вимогам справедливості і забезпечує ефективне поновлення в правах. Загальною декларацією прав людини 1948 року передбачено, що кожна людина має право на ефективне поновлення в правах компетентними національними судами у випадках порушення її основних прав, наданих їй конституцією або законом (стаття 8). Право на ефективний засіб захисту закріплено також у Міжнародному пакті про громадянські та політичні права (стаття 2) і в Конвенції про захист прав людини і основоположних свобод (стаття 13). (Рішення Конституційного Суду України у справі від 30 січня 2003 року № 3-рп/2003).</w:t>
      </w:r>
    </w:p>
    <w:p w:rsidR="00BF0BB1" w:rsidRPr="00BF0BB1" w:rsidRDefault="00BF0BB1" w:rsidP="00BF0BB1">
      <w:pPr>
        <w:spacing w:line="200" w:lineRule="atLeast"/>
        <w:ind w:firstLine="994"/>
        <w:jc w:val="both"/>
        <w:rPr>
          <w:rFonts w:ascii="Times New Roman" w:hAnsi="Times New Roman" w:cs="Times New Roman"/>
          <w:bCs/>
          <w:color w:val="000000"/>
          <w:sz w:val="28"/>
          <w:szCs w:val="28"/>
        </w:rPr>
      </w:pPr>
      <w:r w:rsidRPr="00BF0BB1">
        <w:rPr>
          <w:rFonts w:ascii="Times New Roman" w:hAnsi="Times New Roman" w:cs="Times New Roman"/>
          <w:bCs/>
          <w:color w:val="000000"/>
          <w:sz w:val="28"/>
          <w:szCs w:val="28"/>
        </w:rPr>
        <w:t xml:space="preserve">Конституція України гарантує кожному судовий захист його прав у межах конституційного, цивільного, господарського, адміністративного і кримінального судочинства України. Норми, що передбачають вирішення спорів, зокрема, про поновлення порушеного права, не можуть суперечити принципу рівності усіх перед законом і судом і у зв’язку з цим обмежувати право </w:t>
      </w:r>
      <w:r w:rsidRPr="00BF0BB1">
        <w:rPr>
          <w:rFonts w:ascii="Times New Roman" w:hAnsi="Times New Roman" w:cs="Times New Roman"/>
          <w:bCs/>
          <w:color w:val="000000"/>
          <w:sz w:val="28"/>
          <w:szCs w:val="28"/>
        </w:rPr>
        <w:lastRenderedPageBreak/>
        <w:t>на судовий захисті (Рішення Конституційного Суду України у справі від 07 травня 2002 року № 8-рп/2002).</w:t>
      </w:r>
    </w:p>
    <w:p w:rsidR="00BF0BB1" w:rsidRPr="00BF0BB1" w:rsidRDefault="00BF0BB1" w:rsidP="00BF0BB1">
      <w:pPr>
        <w:spacing w:line="200" w:lineRule="atLeast"/>
        <w:ind w:firstLine="994"/>
        <w:jc w:val="both"/>
        <w:rPr>
          <w:rFonts w:ascii="Times New Roman" w:hAnsi="Times New Roman" w:cs="Times New Roman"/>
          <w:bCs/>
          <w:color w:val="000000"/>
          <w:sz w:val="28"/>
          <w:szCs w:val="28"/>
        </w:rPr>
      </w:pPr>
      <w:r w:rsidRPr="00BF0BB1">
        <w:rPr>
          <w:rFonts w:ascii="Times New Roman" w:hAnsi="Times New Roman" w:cs="Times New Roman"/>
          <w:bCs/>
          <w:color w:val="000000"/>
          <w:sz w:val="28"/>
          <w:szCs w:val="28"/>
        </w:rPr>
        <w:t>Частину другу  статті 55 Конституції України необхідно розуміти так, що кожен, тобто громадянин України, іноземець, особа без громадянства має гарантоване державою право оскаржити в суді загальної юрисдикції рішення, дії або бездіяльність будь-якого органу державної влади, органу місцевого самоврядування, посадових і службових осіб, якщо громадянин України, іноземець, особа без громадянства, вважають, що їх рішення, дія чи бездіяльність порушують або ущемляють права і свободи громадянина України, іноземця, особи без громадянства чи перешкоджають їх здійсненню, а тому потребують правового захисту в суді (Рішення Конституційного Суду України у справі від 25 листопада 1997 року № 6-рп/1997).</w:t>
      </w:r>
    </w:p>
    <w:p w:rsidR="00BF0BB1" w:rsidRPr="00BF0BB1" w:rsidRDefault="00BF0BB1" w:rsidP="00BF0BB1">
      <w:pPr>
        <w:spacing w:line="200" w:lineRule="atLeast"/>
        <w:ind w:firstLine="994"/>
        <w:jc w:val="both"/>
        <w:rPr>
          <w:rFonts w:ascii="Times New Roman" w:hAnsi="Times New Roman" w:cs="Times New Roman"/>
          <w:bCs/>
          <w:color w:val="000000"/>
          <w:sz w:val="28"/>
          <w:szCs w:val="28"/>
        </w:rPr>
      </w:pPr>
      <w:r w:rsidRPr="00BF0BB1">
        <w:rPr>
          <w:rFonts w:ascii="Times New Roman" w:hAnsi="Times New Roman" w:cs="Times New Roman"/>
          <w:bCs/>
          <w:color w:val="000000"/>
          <w:sz w:val="28"/>
          <w:szCs w:val="28"/>
        </w:rPr>
        <w:t>Також, статті 13 Конвенції про захист прав людини і основоположних свобод передбачає «Право на ефективний засіб юридичного захисту» та проголошує, що «Кожен, чиї права та свободи, визнані в цій Конвенції, було порушено, має право на ефективний засіб юридичного захисту в національному органі, навіть якщо таке порушення було вчинене особами, які здійснювали свої офіційні повноваження».</w:t>
      </w:r>
    </w:p>
    <w:p w:rsidR="00BF0BB1" w:rsidRPr="00BF0BB1" w:rsidRDefault="00BF0BB1" w:rsidP="00BF0BB1">
      <w:pPr>
        <w:spacing w:line="200" w:lineRule="atLeast"/>
        <w:ind w:firstLine="994"/>
        <w:jc w:val="both"/>
        <w:rPr>
          <w:rFonts w:ascii="Times New Roman" w:hAnsi="Times New Roman" w:cs="Times New Roman"/>
          <w:bCs/>
          <w:i/>
          <w:sz w:val="28"/>
          <w:szCs w:val="28"/>
          <w:u w:val="single"/>
        </w:rPr>
      </w:pPr>
      <w:r w:rsidRPr="00BF0BB1">
        <w:rPr>
          <w:rFonts w:ascii="Times New Roman" w:hAnsi="Times New Roman" w:cs="Times New Roman"/>
          <w:bCs/>
          <w:color w:val="000000"/>
          <w:sz w:val="28"/>
          <w:szCs w:val="28"/>
        </w:rPr>
        <w:t>Неспроможність застосування належного та ефективного способу судового захисту породжує неможливість реалізації/відновлення порушеного права приватної власності, принцип непорушності якого закріплено в статті 41 Конституції України.</w:t>
      </w:r>
    </w:p>
    <w:p w:rsidR="00BF0BB1" w:rsidRPr="00BF0BB1" w:rsidRDefault="00BF0BB1" w:rsidP="00BF0BB1">
      <w:pPr>
        <w:spacing w:line="200" w:lineRule="atLeast"/>
        <w:ind w:firstLine="994"/>
        <w:jc w:val="both"/>
        <w:rPr>
          <w:rFonts w:ascii="Times New Roman" w:hAnsi="Times New Roman" w:cs="Times New Roman"/>
          <w:bCs/>
          <w:sz w:val="28"/>
          <w:szCs w:val="28"/>
        </w:rPr>
      </w:pPr>
      <w:r w:rsidRPr="00BF0BB1">
        <w:rPr>
          <w:rFonts w:ascii="Times New Roman" w:hAnsi="Times New Roman" w:cs="Times New Roman"/>
          <w:bCs/>
          <w:i/>
          <w:sz w:val="28"/>
          <w:szCs w:val="28"/>
          <w:u w:val="single"/>
        </w:rPr>
        <w:t>Щодо звуження права власності визначеної категорії осіб</w:t>
      </w:r>
    </w:p>
    <w:p w:rsidR="00BF0BB1" w:rsidRPr="00BF0BB1" w:rsidRDefault="00BF0BB1" w:rsidP="00BF0BB1">
      <w:pPr>
        <w:spacing w:line="200" w:lineRule="atLeast"/>
        <w:ind w:firstLine="994"/>
        <w:jc w:val="both"/>
        <w:rPr>
          <w:rFonts w:ascii="Times New Roman" w:hAnsi="Times New Roman" w:cs="Times New Roman"/>
          <w:bCs/>
          <w:sz w:val="28"/>
          <w:szCs w:val="28"/>
        </w:rPr>
      </w:pPr>
      <w:r w:rsidRPr="00BF0BB1">
        <w:rPr>
          <w:rFonts w:ascii="Times New Roman" w:hAnsi="Times New Roman" w:cs="Times New Roman"/>
          <w:bCs/>
          <w:sz w:val="28"/>
          <w:szCs w:val="28"/>
        </w:rPr>
        <w:t xml:space="preserve">Окремими положеннями </w:t>
      </w:r>
      <w:r>
        <w:rPr>
          <w:rFonts w:ascii="Times New Roman" w:hAnsi="Times New Roman" w:cs="Times New Roman"/>
          <w:sz w:val="28"/>
          <w:szCs w:val="28"/>
        </w:rPr>
        <w:t>прое</w:t>
      </w:r>
      <w:r w:rsidRPr="00BF0BB1">
        <w:rPr>
          <w:rFonts w:ascii="Times New Roman" w:hAnsi="Times New Roman" w:cs="Times New Roman"/>
          <w:sz w:val="28"/>
          <w:szCs w:val="28"/>
        </w:rPr>
        <w:t xml:space="preserve">кту Закону № 3260 </w:t>
      </w:r>
      <w:r w:rsidRPr="00BF0BB1">
        <w:rPr>
          <w:rFonts w:ascii="Times New Roman" w:hAnsi="Times New Roman" w:cs="Times New Roman"/>
          <w:bCs/>
          <w:sz w:val="28"/>
          <w:szCs w:val="28"/>
        </w:rPr>
        <w:t>пропонується суттєво звузити гарантії права власності особи, зазначені у ст. 41 Конституції України.</w:t>
      </w:r>
    </w:p>
    <w:p w:rsidR="00BF0BB1" w:rsidRPr="00BF0BB1" w:rsidRDefault="00BF0BB1" w:rsidP="00BF0BB1">
      <w:pPr>
        <w:spacing w:line="200" w:lineRule="atLeast"/>
        <w:ind w:firstLine="994"/>
        <w:jc w:val="both"/>
        <w:rPr>
          <w:rFonts w:ascii="Times New Roman" w:hAnsi="Times New Roman" w:cs="Times New Roman"/>
          <w:bCs/>
          <w:sz w:val="28"/>
          <w:szCs w:val="28"/>
        </w:rPr>
      </w:pPr>
      <w:r w:rsidRPr="00BF0BB1">
        <w:rPr>
          <w:rFonts w:ascii="Times New Roman" w:hAnsi="Times New Roman" w:cs="Times New Roman"/>
          <w:bCs/>
          <w:sz w:val="28"/>
          <w:szCs w:val="28"/>
        </w:rPr>
        <w:t xml:space="preserve">Так, положеннями </w:t>
      </w:r>
      <w:r>
        <w:rPr>
          <w:rFonts w:ascii="Times New Roman" w:hAnsi="Times New Roman" w:cs="Times New Roman"/>
          <w:sz w:val="28"/>
          <w:szCs w:val="28"/>
        </w:rPr>
        <w:t>прое</w:t>
      </w:r>
      <w:r w:rsidRPr="00BF0BB1">
        <w:rPr>
          <w:rFonts w:ascii="Times New Roman" w:hAnsi="Times New Roman" w:cs="Times New Roman"/>
          <w:sz w:val="28"/>
          <w:szCs w:val="28"/>
        </w:rPr>
        <w:t>кту Закону № 3260</w:t>
      </w:r>
      <w:r w:rsidRPr="00BF0BB1">
        <w:rPr>
          <w:rFonts w:ascii="Times New Roman" w:hAnsi="Times New Roman" w:cs="Times New Roman"/>
          <w:bCs/>
          <w:sz w:val="28"/>
          <w:szCs w:val="28"/>
        </w:rPr>
        <w:t>, фактично, закріплено можливість позбавлення власників права власності на вклади без відповідного суд</w:t>
      </w:r>
      <w:r>
        <w:rPr>
          <w:rFonts w:ascii="Times New Roman" w:hAnsi="Times New Roman" w:cs="Times New Roman"/>
          <w:bCs/>
          <w:sz w:val="28"/>
          <w:szCs w:val="28"/>
        </w:rPr>
        <w:t>ового рішення. Тобто, законопрое</w:t>
      </w:r>
      <w:r w:rsidRPr="00BF0BB1">
        <w:rPr>
          <w:rFonts w:ascii="Times New Roman" w:hAnsi="Times New Roman" w:cs="Times New Roman"/>
          <w:bCs/>
          <w:sz w:val="28"/>
          <w:szCs w:val="28"/>
        </w:rPr>
        <w:t>ктом фактично закріплено можливість безпідставного позбавлення вкладників права власності на власні вклади. Це є грубим порушенням і Конституції України, і Конвенції про захист прав людини і основоположних свобод.</w:t>
      </w:r>
    </w:p>
    <w:p w:rsidR="00BF0BB1" w:rsidRPr="00BF0BB1" w:rsidRDefault="00BF0BB1" w:rsidP="00BF0BB1">
      <w:pPr>
        <w:spacing w:line="200" w:lineRule="atLeast"/>
        <w:ind w:firstLine="994"/>
        <w:jc w:val="both"/>
        <w:rPr>
          <w:rFonts w:ascii="Times New Roman" w:hAnsi="Times New Roman" w:cs="Times New Roman"/>
          <w:bCs/>
          <w:sz w:val="28"/>
          <w:szCs w:val="28"/>
        </w:rPr>
      </w:pPr>
      <w:r w:rsidRPr="00BF0BB1">
        <w:rPr>
          <w:rFonts w:ascii="Times New Roman" w:hAnsi="Times New Roman" w:cs="Times New Roman"/>
          <w:bCs/>
          <w:sz w:val="28"/>
          <w:szCs w:val="28"/>
        </w:rPr>
        <w:t xml:space="preserve">Відповідно до статті 41 Конституції України кожен має право володіти, користуватися і розпоряджатися своєю власністю, результатами своєї інтелектуальної, творчої діяльності. Право приватної власності набувається в порядку, визначеному законом. Громадяни для задоволення своїх потреб можуть користуватися об'єктами права державної та комунальної власності відповідно до закону. Ніхто не може бути протиправно позбавлений права власності. Право приватної власності є непорушним. Примусове відчуження об'єктів права приватної власності може бути застосоване лише як виняток з мотивів суспільної необхідності, на підставі і в порядку, встановлених законом, та за умови попереднього і повного відшкодування їх вартості. Примусове відчуження таких об'єктів з наступним повним відшкодуванням їх вартості допускається лише в </w:t>
      </w:r>
      <w:r w:rsidRPr="00BF0BB1">
        <w:rPr>
          <w:rFonts w:ascii="Times New Roman" w:hAnsi="Times New Roman" w:cs="Times New Roman"/>
          <w:bCs/>
          <w:sz w:val="28"/>
          <w:szCs w:val="28"/>
        </w:rPr>
        <w:lastRenderedPageBreak/>
        <w:t>умовах воєнного чи надзвичайного стану. Конфіскація майна може бути застосована виключно за рішенням суду у випадках, обсязі та порядку, встановлених законом.</w:t>
      </w:r>
    </w:p>
    <w:p w:rsidR="00BF0BB1" w:rsidRPr="00BF0BB1" w:rsidRDefault="00BF0BB1" w:rsidP="00BF0BB1">
      <w:pPr>
        <w:spacing w:line="200" w:lineRule="atLeast"/>
        <w:ind w:firstLine="994"/>
        <w:jc w:val="both"/>
        <w:rPr>
          <w:rFonts w:ascii="Times New Roman" w:hAnsi="Times New Roman" w:cs="Times New Roman"/>
          <w:bCs/>
          <w:sz w:val="28"/>
          <w:szCs w:val="28"/>
        </w:rPr>
      </w:pPr>
      <w:r w:rsidRPr="00BF0BB1">
        <w:rPr>
          <w:rFonts w:ascii="Times New Roman" w:hAnsi="Times New Roman" w:cs="Times New Roman"/>
          <w:bCs/>
          <w:sz w:val="28"/>
          <w:szCs w:val="28"/>
        </w:rPr>
        <w:t>Положення про застосування конфіскації виключно за рішенням суду продубльовано у статті 354 Цивільного кодексу України.</w:t>
      </w:r>
    </w:p>
    <w:p w:rsidR="00BF0BB1" w:rsidRPr="00BF0BB1" w:rsidRDefault="00BF0BB1" w:rsidP="00BF0BB1">
      <w:pPr>
        <w:spacing w:line="200" w:lineRule="atLeast"/>
        <w:ind w:firstLine="994"/>
        <w:jc w:val="both"/>
        <w:rPr>
          <w:rFonts w:ascii="Times New Roman" w:hAnsi="Times New Roman" w:cs="Times New Roman"/>
          <w:bCs/>
          <w:sz w:val="28"/>
          <w:szCs w:val="28"/>
        </w:rPr>
      </w:pPr>
      <w:r w:rsidRPr="00BF0BB1">
        <w:rPr>
          <w:rFonts w:ascii="Times New Roman" w:hAnsi="Times New Roman" w:cs="Times New Roman"/>
          <w:bCs/>
          <w:sz w:val="28"/>
          <w:szCs w:val="28"/>
        </w:rPr>
        <w:t>Згідно з положеннями статті 354 Цивільного кодексу України до особи може бути застосовано позбавлення права власності на майно за рішенням суду як санкція за вчинення правопорушення (конфіскація) у випадках, встановлених законом.</w:t>
      </w:r>
    </w:p>
    <w:p w:rsidR="00BF0BB1" w:rsidRPr="00BF0BB1" w:rsidRDefault="00BF0BB1" w:rsidP="00BF0BB1">
      <w:pPr>
        <w:spacing w:line="200" w:lineRule="atLeast"/>
        <w:ind w:firstLine="994"/>
        <w:jc w:val="both"/>
        <w:rPr>
          <w:rFonts w:ascii="Times New Roman" w:hAnsi="Times New Roman" w:cs="Times New Roman"/>
          <w:bCs/>
          <w:sz w:val="28"/>
          <w:szCs w:val="28"/>
        </w:rPr>
      </w:pPr>
      <w:r w:rsidRPr="00BF0BB1">
        <w:rPr>
          <w:rFonts w:ascii="Times New Roman" w:hAnsi="Times New Roman" w:cs="Times New Roman"/>
          <w:bCs/>
          <w:sz w:val="28"/>
          <w:szCs w:val="28"/>
        </w:rPr>
        <w:t xml:space="preserve">Також існує невідповідність зазначених положень Закону України “Про систему гарантування вкладів фізичних осіб” статті 1 Першого протоколу до Конвенції про захист прав людини і основоположних свобод (1950 р.), ратифікованою Законом від 17 липня 1997 р. № 475/97-ВР (далі – Конвенція) та практиці Європейського суду з прав людини. </w:t>
      </w:r>
    </w:p>
    <w:p w:rsidR="00BF0BB1" w:rsidRPr="00BF0BB1" w:rsidRDefault="00BF0BB1" w:rsidP="00BF0BB1">
      <w:pPr>
        <w:spacing w:line="200" w:lineRule="atLeast"/>
        <w:ind w:firstLine="994"/>
        <w:jc w:val="both"/>
        <w:rPr>
          <w:rFonts w:ascii="Times New Roman" w:hAnsi="Times New Roman" w:cs="Times New Roman"/>
          <w:bCs/>
          <w:sz w:val="28"/>
          <w:szCs w:val="28"/>
        </w:rPr>
      </w:pPr>
      <w:r w:rsidRPr="00BF0BB1">
        <w:rPr>
          <w:rFonts w:ascii="Times New Roman" w:hAnsi="Times New Roman" w:cs="Times New Roman"/>
          <w:bCs/>
          <w:sz w:val="28"/>
          <w:szCs w:val="28"/>
        </w:rPr>
        <w:t xml:space="preserve">Конвенцією, зокрема, статтею 1 Першого протоколу до неї (1952 р.) передбачено право кожної фізичної чи юридичної особи безперешкодно користуватися своїм майном, не допускається позбавлення особи її власності інакше як в інтересах суспільства і на умовах, передбачених законом і загальними принципами міжнародного права, визнано право держави на здійснення контролю за користуванням майном відповідно до загальних інтересів або для забезпечення сплати податків чи інших зборів або штрафів. </w:t>
      </w:r>
    </w:p>
    <w:p w:rsidR="00BF0BB1" w:rsidRPr="00BF0BB1" w:rsidRDefault="00BF0BB1" w:rsidP="00BF0BB1">
      <w:pPr>
        <w:spacing w:line="200" w:lineRule="atLeast"/>
        <w:ind w:firstLine="994"/>
        <w:jc w:val="both"/>
        <w:rPr>
          <w:rFonts w:ascii="Times New Roman" w:hAnsi="Times New Roman" w:cs="Times New Roman"/>
          <w:bCs/>
          <w:sz w:val="28"/>
          <w:szCs w:val="28"/>
        </w:rPr>
      </w:pPr>
      <w:r w:rsidRPr="00BF0BB1">
        <w:rPr>
          <w:rFonts w:ascii="Times New Roman" w:hAnsi="Times New Roman" w:cs="Times New Roman"/>
          <w:bCs/>
          <w:sz w:val="28"/>
          <w:szCs w:val="28"/>
        </w:rPr>
        <w:t xml:space="preserve">Відповідно до рішення Європейського суду з прав людини </w:t>
      </w:r>
      <w:proofErr w:type="spellStart"/>
      <w:r w:rsidRPr="00BF0BB1">
        <w:rPr>
          <w:rFonts w:ascii="Times New Roman" w:hAnsi="Times New Roman" w:cs="Times New Roman"/>
          <w:bCs/>
          <w:sz w:val="28"/>
          <w:szCs w:val="28"/>
        </w:rPr>
        <w:t>Zolotas</w:t>
      </w:r>
      <w:proofErr w:type="spellEnd"/>
      <w:r w:rsidRPr="00BF0BB1">
        <w:rPr>
          <w:rFonts w:ascii="Times New Roman" w:hAnsi="Times New Roman" w:cs="Times New Roman"/>
          <w:bCs/>
          <w:sz w:val="28"/>
          <w:szCs w:val="28"/>
        </w:rPr>
        <w:t xml:space="preserve"> проти Греції, [ВП], № 66610/09, § 56, 29 січня 2013 року зазначено: “Суд зазначає, що на підставі статті 830 Цивільного кодексу, якщо особа, яка кладе суму грошей у банк, передає йому право користування нею, то банк має її зберігати і, якщо він використовує її на власну користь, повернути вкладнику еквівалентну суму за умовами угоди. Отже, власник рахунку може добросовісно очікувати, аби вклад до банку перебував у безпеці, особливо якщо він помічає, що на його рахунок нараховуються відсотки. Закономірно, він очікуватиме, що йому повідомлять про ситуацію, яка загрожуватиме стабільності угоди, яку він уклав з банком, і його фінансовим інтересам, аби він міг заздалегідь вжити заходів з метою дотримання законів і збереження свого права власності. Подібні довірчі стосунки невід’ємні для банківських операцій і пов’язаним з ними правом)”.</w:t>
      </w:r>
    </w:p>
    <w:p w:rsidR="00BF0BB1" w:rsidRPr="00BF0BB1" w:rsidRDefault="00BF0BB1" w:rsidP="00BF0BB1">
      <w:pPr>
        <w:spacing w:line="200" w:lineRule="atLeast"/>
        <w:ind w:firstLine="994"/>
        <w:jc w:val="both"/>
        <w:rPr>
          <w:rFonts w:ascii="Times New Roman" w:hAnsi="Times New Roman" w:cs="Times New Roman"/>
          <w:bCs/>
          <w:sz w:val="28"/>
          <w:szCs w:val="28"/>
        </w:rPr>
      </w:pPr>
      <w:r w:rsidRPr="00BF0BB1">
        <w:rPr>
          <w:rFonts w:ascii="Times New Roman" w:hAnsi="Times New Roman" w:cs="Times New Roman"/>
          <w:bCs/>
          <w:sz w:val="28"/>
          <w:szCs w:val="28"/>
        </w:rPr>
        <w:t>У відповідності до частити четвертої статті13 Конституції України держава забезпечує захист прав усіх суб'єктів права власності і господарювання, соціальну спрямованість економіки. Усі суб'єкти права власності рівні перед законом.</w:t>
      </w:r>
    </w:p>
    <w:p w:rsidR="00BF0BB1" w:rsidRPr="00BF0BB1" w:rsidRDefault="00BF0BB1" w:rsidP="00BF0BB1">
      <w:pPr>
        <w:spacing w:line="200" w:lineRule="atLeast"/>
        <w:ind w:firstLine="994"/>
        <w:jc w:val="both"/>
        <w:rPr>
          <w:rFonts w:ascii="Times New Roman" w:hAnsi="Times New Roman" w:cs="Times New Roman"/>
          <w:bCs/>
          <w:sz w:val="28"/>
          <w:szCs w:val="28"/>
        </w:rPr>
      </w:pPr>
      <w:r w:rsidRPr="00BF0BB1">
        <w:rPr>
          <w:rFonts w:ascii="Times New Roman" w:hAnsi="Times New Roman" w:cs="Times New Roman"/>
          <w:bCs/>
          <w:sz w:val="28"/>
          <w:szCs w:val="28"/>
        </w:rPr>
        <w:t>Відповідно до частини четвертої статті 41 Конституції України право приватної власності є непорушним.</w:t>
      </w:r>
    </w:p>
    <w:p w:rsidR="00BF0BB1" w:rsidRPr="00BF0BB1" w:rsidRDefault="00BF0BB1" w:rsidP="00BF0BB1">
      <w:pPr>
        <w:spacing w:line="200" w:lineRule="atLeast"/>
        <w:ind w:firstLine="994"/>
        <w:jc w:val="both"/>
        <w:rPr>
          <w:rFonts w:ascii="Times New Roman" w:hAnsi="Times New Roman" w:cs="Times New Roman"/>
          <w:sz w:val="28"/>
          <w:szCs w:val="28"/>
        </w:rPr>
      </w:pPr>
      <w:r w:rsidRPr="00BF0BB1">
        <w:rPr>
          <w:rFonts w:ascii="Times New Roman" w:hAnsi="Times New Roman" w:cs="Times New Roman"/>
          <w:bCs/>
          <w:sz w:val="28"/>
          <w:szCs w:val="28"/>
        </w:rPr>
        <w:t>Підсумовуючи наведене, слід зазначити, що прийняття альтернативного законо</w:t>
      </w:r>
      <w:r>
        <w:rPr>
          <w:rFonts w:ascii="Times New Roman" w:hAnsi="Times New Roman" w:cs="Times New Roman"/>
          <w:sz w:val="28"/>
          <w:szCs w:val="28"/>
        </w:rPr>
        <w:t>прое</w:t>
      </w:r>
      <w:r w:rsidRPr="00BF0BB1">
        <w:rPr>
          <w:rFonts w:ascii="Times New Roman" w:hAnsi="Times New Roman" w:cs="Times New Roman"/>
          <w:sz w:val="28"/>
          <w:szCs w:val="28"/>
        </w:rPr>
        <w:t xml:space="preserve">кту </w:t>
      </w:r>
      <w:r w:rsidRPr="00BF0BB1">
        <w:rPr>
          <w:rFonts w:ascii="Times New Roman" w:hAnsi="Times New Roman" w:cs="Times New Roman"/>
          <w:bCs/>
          <w:sz w:val="28"/>
          <w:szCs w:val="28"/>
        </w:rPr>
        <w:t xml:space="preserve">дійсно дозволить підвищити якість та ефективність виконання </w:t>
      </w:r>
      <w:r w:rsidRPr="00BF0BB1">
        <w:rPr>
          <w:rFonts w:ascii="Times New Roman" w:hAnsi="Times New Roman" w:cs="Times New Roman"/>
          <w:bCs/>
          <w:sz w:val="28"/>
          <w:szCs w:val="28"/>
        </w:rPr>
        <w:lastRenderedPageBreak/>
        <w:t xml:space="preserve">Національним банком своїх функцій у сфері банківського регулювання та нагляду, </w:t>
      </w:r>
      <w:r w:rsidRPr="00BF0BB1">
        <w:rPr>
          <w:rFonts w:ascii="Times New Roman" w:hAnsi="Times New Roman" w:cs="Times New Roman"/>
          <w:sz w:val="28"/>
          <w:szCs w:val="28"/>
        </w:rPr>
        <w:t>сприятиме забезпеченню умов для ефективного виконання законодавчо закріплених повноважень Національного банку, Фонду, Кабінету Міністрів України, Міністерства фінансів України при прийнятті ними рішень щодо виведення неплатоспроможних банків з ринку.</w:t>
      </w:r>
    </w:p>
    <w:p w:rsidR="00BF0BB1" w:rsidRPr="00BF0BB1" w:rsidRDefault="00BF0BB1" w:rsidP="00BF0BB1">
      <w:pPr>
        <w:spacing w:line="200" w:lineRule="atLeast"/>
        <w:ind w:firstLine="994"/>
        <w:jc w:val="both"/>
        <w:rPr>
          <w:rFonts w:ascii="Times New Roman" w:hAnsi="Times New Roman" w:cs="Times New Roman"/>
          <w:sz w:val="28"/>
          <w:szCs w:val="28"/>
        </w:rPr>
      </w:pPr>
      <w:r w:rsidRPr="00BF0BB1">
        <w:rPr>
          <w:rFonts w:ascii="Times New Roman" w:hAnsi="Times New Roman" w:cs="Times New Roman"/>
          <w:sz w:val="28"/>
          <w:szCs w:val="28"/>
        </w:rPr>
        <w:t>При цьому, зм</w:t>
      </w:r>
      <w:r>
        <w:rPr>
          <w:rFonts w:ascii="Times New Roman" w:hAnsi="Times New Roman" w:cs="Times New Roman"/>
          <w:sz w:val="28"/>
          <w:szCs w:val="28"/>
        </w:rPr>
        <w:t>іни які запропоновані даним прое</w:t>
      </w:r>
      <w:r w:rsidRPr="00BF0BB1">
        <w:rPr>
          <w:rFonts w:ascii="Times New Roman" w:hAnsi="Times New Roman" w:cs="Times New Roman"/>
          <w:sz w:val="28"/>
          <w:szCs w:val="28"/>
        </w:rPr>
        <w:t>ктом Закону № 3260, не дозволять допустити грубого порушення конституційних принципів та прав, підстави та можлив</w:t>
      </w:r>
      <w:r>
        <w:rPr>
          <w:rFonts w:ascii="Times New Roman" w:hAnsi="Times New Roman" w:cs="Times New Roman"/>
          <w:sz w:val="28"/>
          <w:szCs w:val="28"/>
        </w:rPr>
        <w:t>ості яких пропонуються у прое</w:t>
      </w:r>
      <w:r w:rsidRPr="00BF0BB1">
        <w:rPr>
          <w:rFonts w:ascii="Times New Roman" w:hAnsi="Times New Roman" w:cs="Times New Roman"/>
          <w:sz w:val="28"/>
          <w:szCs w:val="28"/>
        </w:rPr>
        <w:t>кті Закону № 3260.</w:t>
      </w:r>
    </w:p>
    <w:p w:rsidR="00BF0BB1" w:rsidRPr="00BF0BB1" w:rsidRDefault="00BF0BB1" w:rsidP="00BF0BB1">
      <w:pPr>
        <w:spacing w:line="200" w:lineRule="atLeast"/>
        <w:ind w:firstLine="994"/>
        <w:jc w:val="both"/>
        <w:rPr>
          <w:rFonts w:ascii="Times New Roman" w:hAnsi="Times New Roman" w:cs="Times New Roman"/>
          <w:sz w:val="28"/>
          <w:szCs w:val="28"/>
        </w:rPr>
      </w:pPr>
      <w:r w:rsidRPr="00BF0BB1">
        <w:rPr>
          <w:rFonts w:ascii="Times New Roman" w:hAnsi="Times New Roman" w:cs="Times New Roman"/>
          <w:sz w:val="28"/>
          <w:szCs w:val="28"/>
        </w:rPr>
        <w:t xml:space="preserve">Таким </w:t>
      </w:r>
      <w:r>
        <w:rPr>
          <w:rFonts w:ascii="Times New Roman" w:hAnsi="Times New Roman" w:cs="Times New Roman"/>
          <w:sz w:val="28"/>
          <w:szCs w:val="28"/>
        </w:rPr>
        <w:t>чином, даним альтернативним прое</w:t>
      </w:r>
      <w:r w:rsidRPr="00BF0BB1">
        <w:rPr>
          <w:rFonts w:ascii="Times New Roman" w:hAnsi="Times New Roman" w:cs="Times New Roman"/>
          <w:sz w:val="28"/>
          <w:szCs w:val="28"/>
        </w:rPr>
        <w:t>ктом Закону пропонується виключити р</w:t>
      </w:r>
      <w:r>
        <w:rPr>
          <w:rFonts w:ascii="Times New Roman" w:hAnsi="Times New Roman" w:cs="Times New Roman"/>
          <w:sz w:val="28"/>
          <w:szCs w:val="28"/>
        </w:rPr>
        <w:t>яд положень, запропонованих прое</w:t>
      </w:r>
      <w:r w:rsidRPr="00BF0BB1">
        <w:rPr>
          <w:rFonts w:ascii="Times New Roman" w:hAnsi="Times New Roman" w:cs="Times New Roman"/>
          <w:sz w:val="28"/>
          <w:szCs w:val="28"/>
        </w:rPr>
        <w:t xml:space="preserve">ктом Закону № 3260 та які суперечать Конституції України, та </w:t>
      </w:r>
      <w:proofErr w:type="spellStart"/>
      <w:r w:rsidRPr="00BF0BB1">
        <w:rPr>
          <w:rFonts w:ascii="Times New Roman" w:hAnsi="Times New Roman" w:cs="Times New Roman"/>
          <w:sz w:val="28"/>
          <w:szCs w:val="28"/>
        </w:rPr>
        <w:t>внести</w:t>
      </w:r>
      <w:proofErr w:type="spellEnd"/>
      <w:r w:rsidRPr="00BF0BB1">
        <w:rPr>
          <w:rFonts w:ascii="Times New Roman" w:hAnsi="Times New Roman" w:cs="Times New Roman"/>
          <w:sz w:val="28"/>
          <w:szCs w:val="28"/>
        </w:rPr>
        <w:t xml:space="preserve"> корективи до інших положень, які сприятимуть ефективному функціонуванні банківської системи України</w:t>
      </w:r>
      <w:r w:rsidRPr="00BF0BB1">
        <w:rPr>
          <w:rFonts w:ascii="Times New Roman" w:hAnsi="Times New Roman" w:cs="Times New Roman"/>
          <w:bCs/>
          <w:color w:val="000000"/>
          <w:sz w:val="28"/>
          <w:szCs w:val="28"/>
        </w:rPr>
        <w:t>.</w:t>
      </w:r>
    </w:p>
    <w:p w:rsidR="00BF0BB1" w:rsidRDefault="00BF0BB1" w:rsidP="00BF0BB1">
      <w:pPr>
        <w:spacing w:line="200" w:lineRule="atLeast"/>
        <w:ind w:firstLine="994"/>
        <w:jc w:val="both"/>
        <w:rPr>
          <w:rFonts w:ascii="Times New Roman" w:hAnsi="Times New Roman" w:cs="Times New Roman"/>
          <w:sz w:val="28"/>
          <w:szCs w:val="28"/>
        </w:rPr>
      </w:pPr>
    </w:p>
    <w:p w:rsidR="00BF0BB1" w:rsidRPr="00BF0BB1" w:rsidRDefault="00BF0BB1" w:rsidP="00BF0BB1">
      <w:pPr>
        <w:spacing w:line="200" w:lineRule="atLeast"/>
        <w:ind w:firstLine="994"/>
        <w:jc w:val="both"/>
        <w:rPr>
          <w:rFonts w:ascii="Times New Roman" w:hAnsi="Times New Roman" w:cs="Times New Roman"/>
          <w:sz w:val="28"/>
          <w:szCs w:val="28"/>
        </w:rPr>
      </w:pPr>
    </w:p>
    <w:p w:rsidR="00BF0BB1" w:rsidRPr="00BF0BB1" w:rsidRDefault="00BF0BB1" w:rsidP="00BF0BB1">
      <w:pPr>
        <w:pStyle w:val="a9"/>
        <w:numPr>
          <w:ilvl w:val="0"/>
          <w:numId w:val="3"/>
        </w:numPr>
        <w:spacing w:line="200" w:lineRule="atLeast"/>
        <w:jc w:val="both"/>
        <w:rPr>
          <w:rFonts w:ascii="Times New Roman" w:hAnsi="Times New Roman" w:cs="Times New Roman"/>
          <w:b/>
          <w:bCs/>
          <w:sz w:val="28"/>
          <w:szCs w:val="28"/>
        </w:rPr>
      </w:pPr>
      <w:r w:rsidRPr="00BF0BB1">
        <w:rPr>
          <w:rFonts w:ascii="Times New Roman" w:hAnsi="Times New Roman" w:cs="Times New Roman"/>
          <w:b/>
          <w:bCs/>
          <w:sz w:val="28"/>
          <w:szCs w:val="28"/>
        </w:rPr>
        <w:t>Стан нормативно-правової бази</w:t>
      </w:r>
    </w:p>
    <w:p w:rsidR="00BF0BB1" w:rsidRPr="00BF0BB1" w:rsidRDefault="00BF0BB1" w:rsidP="00BF0BB1">
      <w:pPr>
        <w:pStyle w:val="a9"/>
        <w:spacing w:line="200" w:lineRule="atLeast"/>
        <w:ind w:left="1354"/>
        <w:jc w:val="both"/>
        <w:rPr>
          <w:rFonts w:ascii="Times New Roman" w:hAnsi="Times New Roman" w:cs="Times New Roman"/>
          <w:sz w:val="28"/>
          <w:szCs w:val="28"/>
        </w:rPr>
      </w:pPr>
    </w:p>
    <w:p w:rsidR="00BF0BB1" w:rsidRPr="00BF0BB1" w:rsidRDefault="00BF0BB1" w:rsidP="00BF0BB1">
      <w:pPr>
        <w:spacing w:line="200" w:lineRule="atLeast"/>
        <w:ind w:firstLine="994"/>
        <w:jc w:val="both"/>
        <w:rPr>
          <w:rFonts w:ascii="Times New Roman" w:hAnsi="Times New Roman" w:cs="Times New Roman"/>
          <w:sz w:val="28"/>
          <w:szCs w:val="28"/>
        </w:rPr>
      </w:pPr>
      <w:r w:rsidRPr="00BF0BB1">
        <w:rPr>
          <w:rFonts w:ascii="Times New Roman" w:hAnsi="Times New Roman" w:cs="Times New Roman"/>
          <w:sz w:val="28"/>
          <w:szCs w:val="28"/>
        </w:rPr>
        <w:t>Нормативно-правову базу в сфері правового регулювання становлять Конституція України, Цивільний кодекс України, Кримінальний процесуальний кодекс України, Господарський процесуальний кодекс України, Кодекс адміністративного судочинства України, Закон України «Про банки і банківську діяльність», Закон України «Про Національний банк України», Закон України «Про акціонерні товариства», Закон України «Про виконавче провадження», Закон України «Про нотаріат»,  Законі України “Про державну реєстрацію речових прав на нерухоме майно та їх обтяжень”, Закон України «Про систему гарантування вкладів фізичних осіб», Закон України «Про захист економічної конкуренції».</w:t>
      </w:r>
    </w:p>
    <w:p w:rsidR="00BF0BB1" w:rsidRPr="00BF0BB1" w:rsidRDefault="00BF0BB1" w:rsidP="00BF0BB1">
      <w:pPr>
        <w:spacing w:line="200" w:lineRule="atLeast"/>
        <w:ind w:firstLine="994"/>
        <w:jc w:val="both"/>
        <w:rPr>
          <w:rFonts w:ascii="Times New Roman" w:hAnsi="Times New Roman" w:cs="Times New Roman"/>
          <w:sz w:val="28"/>
          <w:szCs w:val="28"/>
        </w:rPr>
      </w:pPr>
      <w:r w:rsidRPr="00BF0BB1">
        <w:rPr>
          <w:rFonts w:ascii="Times New Roman" w:hAnsi="Times New Roman" w:cs="Times New Roman"/>
          <w:sz w:val="28"/>
          <w:szCs w:val="28"/>
        </w:rPr>
        <w:t>Зап</w:t>
      </w:r>
      <w:r>
        <w:rPr>
          <w:rFonts w:ascii="Times New Roman" w:hAnsi="Times New Roman" w:cs="Times New Roman"/>
          <w:sz w:val="28"/>
          <w:szCs w:val="28"/>
        </w:rPr>
        <w:t>ропонованим законопрое</w:t>
      </w:r>
      <w:r w:rsidRPr="00BF0BB1">
        <w:rPr>
          <w:rFonts w:ascii="Times New Roman" w:hAnsi="Times New Roman" w:cs="Times New Roman"/>
          <w:sz w:val="28"/>
          <w:szCs w:val="28"/>
        </w:rPr>
        <w:t>ктом пропонуються зміни до Кодексу адміністративного судочинства України, Закону України «Про банки і банківську діяльність» та Закону України «Про систему гарантування вкладів фізичних осіб».</w:t>
      </w:r>
    </w:p>
    <w:p w:rsidR="00BF0BB1" w:rsidRDefault="00BF0BB1" w:rsidP="00BF0BB1">
      <w:pPr>
        <w:widowControl w:val="0"/>
        <w:spacing w:line="200" w:lineRule="atLeast"/>
        <w:ind w:firstLine="994"/>
        <w:jc w:val="both"/>
        <w:rPr>
          <w:rFonts w:ascii="Times New Roman" w:hAnsi="Times New Roman" w:cs="Times New Roman"/>
          <w:sz w:val="28"/>
          <w:szCs w:val="28"/>
        </w:rPr>
      </w:pPr>
      <w:r w:rsidRPr="00BF0BB1">
        <w:rPr>
          <w:rFonts w:ascii="Times New Roman" w:hAnsi="Times New Roman" w:cs="Times New Roman"/>
          <w:sz w:val="28"/>
          <w:szCs w:val="28"/>
        </w:rPr>
        <w:t xml:space="preserve"> </w:t>
      </w:r>
    </w:p>
    <w:p w:rsidR="00BF0BB1" w:rsidRPr="00BF0BB1" w:rsidRDefault="00BF0BB1" w:rsidP="00BF0BB1">
      <w:pPr>
        <w:widowControl w:val="0"/>
        <w:spacing w:line="200" w:lineRule="atLeast"/>
        <w:ind w:firstLine="994"/>
        <w:jc w:val="both"/>
        <w:rPr>
          <w:rFonts w:ascii="Times New Roman" w:hAnsi="Times New Roman" w:cs="Times New Roman"/>
          <w:b/>
          <w:sz w:val="28"/>
          <w:szCs w:val="28"/>
        </w:rPr>
      </w:pPr>
    </w:p>
    <w:p w:rsidR="00BF0BB1" w:rsidRPr="00BF0BB1" w:rsidRDefault="00BF0BB1" w:rsidP="00BF0BB1">
      <w:pPr>
        <w:pStyle w:val="a9"/>
        <w:numPr>
          <w:ilvl w:val="0"/>
          <w:numId w:val="3"/>
        </w:numPr>
        <w:spacing w:line="200" w:lineRule="atLeast"/>
        <w:jc w:val="both"/>
        <w:rPr>
          <w:rFonts w:ascii="Times New Roman" w:hAnsi="Times New Roman" w:cs="Times New Roman"/>
          <w:b/>
          <w:sz w:val="28"/>
          <w:szCs w:val="28"/>
        </w:rPr>
      </w:pPr>
      <w:r w:rsidRPr="00BF0BB1">
        <w:rPr>
          <w:rFonts w:ascii="Times New Roman" w:hAnsi="Times New Roman" w:cs="Times New Roman"/>
          <w:b/>
          <w:sz w:val="28"/>
          <w:szCs w:val="28"/>
        </w:rPr>
        <w:t xml:space="preserve">Фінансово-економічне обґрунтування </w:t>
      </w:r>
    </w:p>
    <w:p w:rsidR="00BF0BB1" w:rsidRPr="00BF0BB1" w:rsidRDefault="00BF0BB1" w:rsidP="00BF0BB1">
      <w:pPr>
        <w:pStyle w:val="a9"/>
        <w:spacing w:line="200" w:lineRule="atLeast"/>
        <w:ind w:left="1354"/>
        <w:jc w:val="both"/>
        <w:rPr>
          <w:rFonts w:ascii="Times New Roman" w:hAnsi="Times New Roman" w:cs="Times New Roman"/>
          <w:sz w:val="28"/>
          <w:szCs w:val="28"/>
        </w:rPr>
      </w:pPr>
    </w:p>
    <w:p w:rsidR="00BF0BB1" w:rsidRPr="00BF0BB1" w:rsidRDefault="00BF0BB1" w:rsidP="00BF0BB1">
      <w:pPr>
        <w:spacing w:line="200" w:lineRule="atLeast"/>
        <w:ind w:firstLine="994"/>
        <w:jc w:val="both"/>
        <w:rPr>
          <w:rFonts w:ascii="Times New Roman" w:hAnsi="Times New Roman" w:cs="Times New Roman"/>
          <w:b/>
          <w:sz w:val="28"/>
          <w:szCs w:val="28"/>
        </w:rPr>
      </w:pPr>
      <w:r>
        <w:rPr>
          <w:rFonts w:ascii="Times New Roman" w:hAnsi="Times New Roman" w:cs="Times New Roman"/>
          <w:sz w:val="28"/>
          <w:szCs w:val="28"/>
        </w:rPr>
        <w:t>Реалізація законопрое</w:t>
      </w:r>
      <w:r w:rsidRPr="00BF0BB1">
        <w:rPr>
          <w:rFonts w:ascii="Times New Roman" w:hAnsi="Times New Roman" w:cs="Times New Roman"/>
          <w:sz w:val="28"/>
          <w:szCs w:val="28"/>
        </w:rPr>
        <w:t>кту не потребує додаткових фінансових витрат із Державного бюджету України.</w:t>
      </w:r>
    </w:p>
    <w:p w:rsidR="00BF0BB1" w:rsidRDefault="00BF0BB1" w:rsidP="00BF0BB1">
      <w:pPr>
        <w:spacing w:line="200" w:lineRule="atLeast"/>
        <w:ind w:firstLine="994"/>
        <w:jc w:val="both"/>
        <w:rPr>
          <w:rFonts w:ascii="Times New Roman" w:hAnsi="Times New Roman" w:cs="Times New Roman"/>
          <w:b/>
          <w:sz w:val="28"/>
          <w:szCs w:val="28"/>
        </w:rPr>
      </w:pPr>
    </w:p>
    <w:p w:rsidR="00BF0BB1" w:rsidRDefault="00BF0BB1" w:rsidP="00BF0BB1">
      <w:pPr>
        <w:spacing w:line="200" w:lineRule="atLeast"/>
        <w:ind w:firstLine="994"/>
        <w:jc w:val="both"/>
        <w:rPr>
          <w:rFonts w:ascii="Times New Roman" w:hAnsi="Times New Roman" w:cs="Times New Roman"/>
          <w:b/>
          <w:sz w:val="28"/>
          <w:szCs w:val="28"/>
        </w:rPr>
      </w:pPr>
    </w:p>
    <w:p w:rsidR="00BF0BB1" w:rsidRPr="00BF0BB1" w:rsidRDefault="00BF0BB1" w:rsidP="00BF0BB1">
      <w:pPr>
        <w:spacing w:line="200" w:lineRule="atLeast"/>
        <w:ind w:firstLine="994"/>
        <w:jc w:val="both"/>
        <w:rPr>
          <w:rFonts w:ascii="Times New Roman" w:hAnsi="Times New Roman" w:cs="Times New Roman"/>
          <w:b/>
          <w:sz w:val="28"/>
          <w:szCs w:val="28"/>
        </w:rPr>
      </w:pPr>
    </w:p>
    <w:p w:rsidR="00BF0BB1" w:rsidRPr="00BF0BB1" w:rsidRDefault="00BF0BB1" w:rsidP="00BF0BB1">
      <w:pPr>
        <w:spacing w:line="200" w:lineRule="atLeast"/>
        <w:ind w:firstLine="994"/>
        <w:jc w:val="both"/>
        <w:rPr>
          <w:rFonts w:ascii="Times New Roman" w:hAnsi="Times New Roman" w:cs="Times New Roman"/>
          <w:sz w:val="28"/>
          <w:szCs w:val="28"/>
        </w:rPr>
      </w:pPr>
      <w:r w:rsidRPr="00BF0BB1">
        <w:rPr>
          <w:rFonts w:ascii="Times New Roman" w:hAnsi="Times New Roman" w:cs="Times New Roman"/>
          <w:b/>
          <w:sz w:val="28"/>
          <w:szCs w:val="28"/>
        </w:rPr>
        <w:t>6. Прогноз соціально-економічних т</w:t>
      </w:r>
      <w:r>
        <w:rPr>
          <w:rFonts w:ascii="Times New Roman" w:hAnsi="Times New Roman" w:cs="Times New Roman"/>
          <w:b/>
          <w:sz w:val="28"/>
          <w:szCs w:val="28"/>
        </w:rPr>
        <w:t>а інших наслідків прийняття прое</w:t>
      </w:r>
      <w:r w:rsidRPr="00BF0BB1">
        <w:rPr>
          <w:rFonts w:ascii="Times New Roman" w:hAnsi="Times New Roman" w:cs="Times New Roman"/>
          <w:b/>
          <w:sz w:val="28"/>
          <w:szCs w:val="28"/>
        </w:rPr>
        <w:t>кту</w:t>
      </w:r>
    </w:p>
    <w:p w:rsidR="00BF0BB1" w:rsidRPr="00BF0BB1" w:rsidRDefault="00BF0BB1" w:rsidP="00BF0BB1">
      <w:pPr>
        <w:spacing w:line="200" w:lineRule="atLeast"/>
        <w:ind w:firstLine="994"/>
        <w:jc w:val="both"/>
        <w:rPr>
          <w:rFonts w:ascii="Times New Roman" w:hAnsi="Times New Roman" w:cs="Times New Roman"/>
          <w:sz w:val="28"/>
          <w:szCs w:val="28"/>
        </w:rPr>
      </w:pPr>
      <w:r w:rsidRPr="00BF0BB1">
        <w:rPr>
          <w:rFonts w:ascii="Times New Roman" w:hAnsi="Times New Roman" w:cs="Times New Roman"/>
          <w:sz w:val="28"/>
          <w:szCs w:val="28"/>
        </w:rPr>
        <w:t>Прий</w:t>
      </w:r>
      <w:r>
        <w:rPr>
          <w:rFonts w:ascii="Times New Roman" w:hAnsi="Times New Roman" w:cs="Times New Roman"/>
          <w:sz w:val="28"/>
          <w:szCs w:val="28"/>
        </w:rPr>
        <w:t>няття альтернативного законопрое</w:t>
      </w:r>
      <w:r w:rsidRPr="00BF0BB1">
        <w:rPr>
          <w:rFonts w:ascii="Times New Roman" w:hAnsi="Times New Roman" w:cs="Times New Roman"/>
          <w:sz w:val="28"/>
          <w:szCs w:val="28"/>
        </w:rPr>
        <w:t>кту дозволить створити дієвий механізм належного захисту інтересів вкладників, інших кредиторів банків, держави, не ставлячи, при цьому, під ризик функціонування правової системи України, її базових принципів та недопущення порушень основоположних прав і свобод громадян.</w:t>
      </w:r>
    </w:p>
    <w:p w:rsidR="00BF0BB1" w:rsidRPr="00BF0BB1" w:rsidRDefault="00BF0BB1" w:rsidP="00BF0BB1">
      <w:pPr>
        <w:spacing w:line="200" w:lineRule="atLeast"/>
        <w:ind w:firstLine="994"/>
        <w:jc w:val="both"/>
        <w:rPr>
          <w:rFonts w:ascii="Times New Roman" w:hAnsi="Times New Roman" w:cs="Times New Roman"/>
          <w:sz w:val="28"/>
          <w:szCs w:val="28"/>
        </w:rPr>
      </w:pPr>
    </w:p>
    <w:p w:rsidR="00BF0BB1" w:rsidRPr="00BF0BB1" w:rsidRDefault="00BF0BB1" w:rsidP="00BF0BB1">
      <w:pPr>
        <w:spacing w:line="200" w:lineRule="atLeast"/>
        <w:ind w:firstLine="994"/>
        <w:jc w:val="both"/>
        <w:rPr>
          <w:rFonts w:ascii="Times New Roman" w:hAnsi="Times New Roman" w:cs="Times New Roman"/>
          <w:sz w:val="28"/>
          <w:szCs w:val="28"/>
        </w:rPr>
      </w:pPr>
    </w:p>
    <w:p w:rsidR="008F5511" w:rsidRPr="008F5511" w:rsidRDefault="008F5511" w:rsidP="008F5511">
      <w:pPr>
        <w:spacing w:after="0" w:line="240" w:lineRule="auto"/>
        <w:rPr>
          <w:rFonts w:ascii="Times New Roman" w:eastAsia="Times New Roman" w:hAnsi="Times New Roman" w:cs="Times New Roman"/>
          <w:b/>
          <w:bCs/>
          <w:sz w:val="28"/>
          <w:szCs w:val="28"/>
          <w:lang w:eastAsia="uk-UA"/>
        </w:rPr>
      </w:pPr>
    </w:p>
    <w:p w:rsidR="008F5511" w:rsidRPr="008F5511" w:rsidRDefault="008F5511" w:rsidP="008F5511">
      <w:pPr>
        <w:spacing w:after="0" w:line="240" w:lineRule="auto"/>
        <w:rPr>
          <w:rFonts w:ascii="Times New Roman" w:eastAsia="Times New Roman" w:hAnsi="Times New Roman" w:cs="Times New Roman"/>
          <w:b/>
          <w:bCs/>
          <w:sz w:val="28"/>
          <w:szCs w:val="28"/>
          <w:lang w:eastAsia="uk-UA"/>
        </w:rPr>
      </w:pPr>
    </w:p>
    <w:p w:rsidR="008F5511" w:rsidRPr="008F5511" w:rsidRDefault="008F5511" w:rsidP="008F5511">
      <w:pPr>
        <w:spacing w:after="0" w:line="240" w:lineRule="auto"/>
        <w:rPr>
          <w:rFonts w:ascii="Times New Roman" w:eastAsia="Times New Roman" w:hAnsi="Times New Roman" w:cs="Times New Roman"/>
          <w:b/>
          <w:bCs/>
          <w:sz w:val="28"/>
          <w:szCs w:val="28"/>
          <w:lang w:eastAsia="uk-UA"/>
        </w:rPr>
      </w:pPr>
    </w:p>
    <w:p w:rsidR="008F5511" w:rsidRPr="00BF0BB1" w:rsidRDefault="008F5511" w:rsidP="008F5511">
      <w:pPr>
        <w:spacing w:after="0" w:line="240" w:lineRule="auto"/>
        <w:rPr>
          <w:rFonts w:ascii="Times New Roman" w:eastAsia="Times New Roman" w:hAnsi="Times New Roman" w:cs="Times New Roman"/>
          <w:b/>
          <w:bCs/>
          <w:sz w:val="28"/>
          <w:szCs w:val="28"/>
          <w:lang w:eastAsia="uk-UA"/>
        </w:rPr>
      </w:pPr>
      <w:r w:rsidRPr="008F5511">
        <w:rPr>
          <w:rFonts w:ascii="Times New Roman" w:eastAsia="Times New Roman" w:hAnsi="Times New Roman" w:cs="Times New Roman"/>
          <w:b/>
          <w:bCs/>
          <w:sz w:val="28"/>
          <w:szCs w:val="28"/>
          <w:lang w:eastAsia="uk-UA"/>
        </w:rPr>
        <w:t>Народний депутат України</w:t>
      </w:r>
      <w:r w:rsidRPr="008F5511">
        <w:rPr>
          <w:rFonts w:ascii="Times New Roman" w:eastAsia="Times New Roman" w:hAnsi="Times New Roman" w:cs="Times New Roman"/>
          <w:b/>
          <w:bCs/>
          <w:sz w:val="28"/>
          <w:szCs w:val="28"/>
          <w:lang w:eastAsia="uk-UA"/>
        </w:rPr>
        <w:tab/>
      </w:r>
      <w:r w:rsidRPr="008F5511">
        <w:rPr>
          <w:rFonts w:ascii="Times New Roman" w:eastAsia="Times New Roman" w:hAnsi="Times New Roman" w:cs="Times New Roman"/>
          <w:b/>
          <w:bCs/>
          <w:sz w:val="28"/>
          <w:szCs w:val="28"/>
          <w:lang w:eastAsia="uk-UA"/>
        </w:rPr>
        <w:tab/>
      </w:r>
      <w:r w:rsidRPr="008F5511">
        <w:rPr>
          <w:rFonts w:ascii="Times New Roman" w:eastAsia="Times New Roman" w:hAnsi="Times New Roman" w:cs="Times New Roman"/>
          <w:b/>
          <w:bCs/>
          <w:sz w:val="28"/>
          <w:szCs w:val="28"/>
          <w:lang w:eastAsia="uk-UA"/>
        </w:rPr>
        <w:tab/>
      </w:r>
      <w:r w:rsidRPr="008F5511">
        <w:rPr>
          <w:rFonts w:ascii="Times New Roman" w:eastAsia="Times New Roman" w:hAnsi="Times New Roman" w:cs="Times New Roman"/>
          <w:b/>
          <w:bCs/>
          <w:sz w:val="28"/>
          <w:szCs w:val="28"/>
          <w:lang w:eastAsia="uk-UA"/>
        </w:rPr>
        <w:tab/>
      </w:r>
      <w:r w:rsidRPr="008F5511">
        <w:rPr>
          <w:rFonts w:ascii="Times New Roman" w:eastAsia="Times New Roman" w:hAnsi="Times New Roman" w:cs="Times New Roman"/>
          <w:b/>
          <w:bCs/>
          <w:sz w:val="28"/>
          <w:szCs w:val="28"/>
          <w:lang w:eastAsia="uk-UA"/>
        </w:rPr>
        <w:tab/>
      </w:r>
      <w:r w:rsidRPr="008F5511">
        <w:rPr>
          <w:rFonts w:ascii="Times New Roman" w:eastAsia="Times New Roman" w:hAnsi="Times New Roman" w:cs="Times New Roman"/>
          <w:b/>
          <w:bCs/>
          <w:sz w:val="28"/>
          <w:szCs w:val="28"/>
          <w:lang w:eastAsia="uk-UA"/>
        </w:rPr>
        <w:tab/>
        <w:t xml:space="preserve">  </w:t>
      </w:r>
      <w:r w:rsidRPr="00BF0BB1">
        <w:rPr>
          <w:rFonts w:ascii="Times New Roman" w:eastAsia="Times New Roman" w:hAnsi="Times New Roman" w:cs="Times New Roman"/>
          <w:b/>
          <w:bCs/>
          <w:sz w:val="28"/>
          <w:szCs w:val="28"/>
          <w:lang w:eastAsia="uk-UA"/>
        </w:rPr>
        <w:t xml:space="preserve">     </w:t>
      </w:r>
      <w:r w:rsidRPr="008F5511">
        <w:rPr>
          <w:rFonts w:ascii="Times New Roman" w:eastAsia="Times New Roman" w:hAnsi="Times New Roman" w:cs="Times New Roman"/>
          <w:b/>
          <w:bCs/>
          <w:sz w:val="28"/>
          <w:szCs w:val="28"/>
          <w:lang w:eastAsia="uk-UA"/>
        </w:rPr>
        <w:t xml:space="preserve">  </w:t>
      </w:r>
      <w:r w:rsidRPr="00BF0BB1">
        <w:rPr>
          <w:rFonts w:ascii="Times New Roman" w:eastAsia="Times New Roman" w:hAnsi="Times New Roman" w:cs="Times New Roman"/>
          <w:b/>
          <w:bCs/>
          <w:sz w:val="28"/>
          <w:szCs w:val="28"/>
          <w:lang w:eastAsia="uk-UA"/>
        </w:rPr>
        <w:t>О.А.ДУНДА</w:t>
      </w:r>
    </w:p>
    <w:p w:rsidR="008F5511" w:rsidRPr="008F5511" w:rsidRDefault="008F5511" w:rsidP="008F5511">
      <w:pPr>
        <w:spacing w:after="0" w:line="240" w:lineRule="auto"/>
        <w:ind w:left="7080" w:firstLine="708"/>
        <w:rPr>
          <w:rFonts w:ascii="Times New Roman" w:eastAsia="Times New Roman" w:hAnsi="Times New Roman" w:cs="Times New Roman"/>
          <w:bCs/>
          <w:sz w:val="28"/>
          <w:szCs w:val="28"/>
          <w:lang w:eastAsia="uk-UA"/>
        </w:rPr>
      </w:pPr>
      <w:r w:rsidRPr="00BF0BB1">
        <w:rPr>
          <w:rFonts w:ascii="Times New Roman" w:eastAsia="Times New Roman" w:hAnsi="Times New Roman" w:cs="Times New Roman"/>
          <w:bCs/>
          <w:sz w:val="28"/>
          <w:szCs w:val="28"/>
          <w:lang w:eastAsia="uk-UA"/>
        </w:rPr>
        <w:t>(посв.№297)</w:t>
      </w:r>
    </w:p>
    <w:p w:rsidR="008F5511" w:rsidRPr="008F5511" w:rsidRDefault="008F5511" w:rsidP="008F5511">
      <w:pPr>
        <w:spacing w:after="0" w:line="240" w:lineRule="auto"/>
        <w:rPr>
          <w:rFonts w:ascii="Times New Roman" w:eastAsia="Times New Roman" w:hAnsi="Times New Roman" w:cs="Times New Roman"/>
          <w:b/>
          <w:bCs/>
          <w:sz w:val="28"/>
          <w:szCs w:val="28"/>
          <w:lang w:eastAsia="uk-UA"/>
        </w:rPr>
      </w:pPr>
    </w:p>
    <w:p w:rsidR="008F5511" w:rsidRPr="008F5511" w:rsidRDefault="008F5511" w:rsidP="008F5511">
      <w:pPr>
        <w:spacing w:after="0" w:line="240" w:lineRule="auto"/>
        <w:rPr>
          <w:rFonts w:ascii="Times New Roman" w:eastAsia="Times New Roman" w:hAnsi="Times New Roman" w:cs="Times New Roman"/>
          <w:sz w:val="28"/>
          <w:szCs w:val="28"/>
          <w:lang w:eastAsia="ru-RU"/>
        </w:rPr>
      </w:pPr>
    </w:p>
    <w:p w:rsidR="008F5511" w:rsidRPr="008F5511" w:rsidRDefault="008F5511" w:rsidP="008F5511">
      <w:pPr>
        <w:spacing w:before="120" w:after="0" w:line="240" w:lineRule="auto"/>
        <w:ind w:firstLine="851"/>
        <w:jc w:val="both"/>
        <w:rPr>
          <w:rFonts w:ascii="Times New Roman" w:eastAsia="Times New Roman" w:hAnsi="Times New Roman" w:cs="Times New Roman"/>
          <w:sz w:val="28"/>
          <w:szCs w:val="28"/>
          <w:lang w:eastAsia="ru-RU"/>
        </w:rPr>
      </w:pPr>
    </w:p>
    <w:p w:rsidR="00D93142" w:rsidRPr="00BF0BB1" w:rsidRDefault="00D93142">
      <w:pPr>
        <w:rPr>
          <w:rFonts w:ascii="Times New Roman" w:hAnsi="Times New Roman" w:cs="Times New Roman"/>
          <w:sz w:val="28"/>
          <w:szCs w:val="28"/>
        </w:rPr>
      </w:pPr>
    </w:p>
    <w:sectPr w:rsidR="00D93142" w:rsidRPr="00BF0BB1" w:rsidSect="003F297E">
      <w:headerReference w:type="default" r:id="rId7"/>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3321" w:rsidRDefault="00883321" w:rsidP="003F297E">
      <w:pPr>
        <w:spacing w:after="0" w:line="240" w:lineRule="auto"/>
      </w:pPr>
      <w:r>
        <w:separator/>
      </w:r>
    </w:p>
  </w:endnote>
  <w:endnote w:type="continuationSeparator" w:id="0">
    <w:p w:rsidR="00883321" w:rsidRDefault="00883321" w:rsidP="003F29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altName w:val="Calibr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3321" w:rsidRDefault="00883321" w:rsidP="003F297E">
      <w:pPr>
        <w:spacing w:after="0" w:line="240" w:lineRule="auto"/>
      </w:pPr>
      <w:r>
        <w:separator/>
      </w:r>
    </w:p>
  </w:footnote>
  <w:footnote w:type="continuationSeparator" w:id="0">
    <w:p w:rsidR="00883321" w:rsidRDefault="00883321" w:rsidP="003F297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31740763"/>
      <w:docPartObj>
        <w:docPartGallery w:val="Page Numbers (Top of Page)"/>
        <w:docPartUnique/>
      </w:docPartObj>
    </w:sdtPr>
    <w:sdtContent>
      <w:p w:rsidR="003F297E" w:rsidRDefault="003F297E">
        <w:pPr>
          <w:pStyle w:val="a3"/>
          <w:jc w:val="right"/>
        </w:pPr>
        <w:r>
          <w:fldChar w:fldCharType="begin"/>
        </w:r>
        <w:r>
          <w:instrText>PAGE   \* MERGEFORMAT</w:instrText>
        </w:r>
        <w:r>
          <w:fldChar w:fldCharType="separate"/>
        </w:r>
        <w:r>
          <w:rPr>
            <w:noProof/>
          </w:rPr>
          <w:t>7</w:t>
        </w:r>
        <w:r>
          <w:fldChar w:fldCharType="end"/>
        </w:r>
      </w:p>
    </w:sdtContent>
  </w:sdt>
  <w:p w:rsidR="00984241" w:rsidRDefault="0088332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decimal"/>
      <w:lvlText w:val="%1)"/>
      <w:lvlJc w:val="left"/>
      <w:pPr>
        <w:tabs>
          <w:tab w:val="num" w:pos="0"/>
        </w:tabs>
        <w:ind w:left="786" w:hanging="360"/>
      </w:pPr>
    </w:lvl>
    <w:lvl w:ilvl="1">
      <w:start w:val="1"/>
      <w:numFmt w:val="lowerLetter"/>
      <w:lvlText w:val="%2."/>
      <w:lvlJc w:val="left"/>
      <w:pPr>
        <w:tabs>
          <w:tab w:val="num" w:pos="0"/>
        </w:tabs>
        <w:ind w:left="1506" w:hanging="360"/>
      </w:pPr>
    </w:lvl>
    <w:lvl w:ilvl="2">
      <w:start w:val="1"/>
      <w:numFmt w:val="lowerRoman"/>
      <w:lvlText w:val="%2.%3."/>
      <w:lvlJc w:val="right"/>
      <w:pPr>
        <w:tabs>
          <w:tab w:val="num" w:pos="0"/>
        </w:tabs>
        <w:ind w:left="2226" w:hanging="180"/>
      </w:pPr>
    </w:lvl>
    <w:lvl w:ilvl="3">
      <w:start w:val="1"/>
      <w:numFmt w:val="decimal"/>
      <w:lvlText w:val="%2.%3.%4."/>
      <w:lvlJc w:val="left"/>
      <w:pPr>
        <w:tabs>
          <w:tab w:val="num" w:pos="0"/>
        </w:tabs>
        <w:ind w:left="2946" w:hanging="360"/>
      </w:pPr>
    </w:lvl>
    <w:lvl w:ilvl="4">
      <w:start w:val="1"/>
      <w:numFmt w:val="lowerLetter"/>
      <w:lvlText w:val="%2.%3.%4.%5."/>
      <w:lvlJc w:val="left"/>
      <w:pPr>
        <w:tabs>
          <w:tab w:val="num" w:pos="0"/>
        </w:tabs>
        <w:ind w:left="3666" w:hanging="360"/>
      </w:pPr>
    </w:lvl>
    <w:lvl w:ilvl="5">
      <w:start w:val="1"/>
      <w:numFmt w:val="lowerRoman"/>
      <w:lvlText w:val="%2.%3.%4.%5.%6."/>
      <w:lvlJc w:val="right"/>
      <w:pPr>
        <w:tabs>
          <w:tab w:val="num" w:pos="0"/>
        </w:tabs>
        <w:ind w:left="4386" w:hanging="180"/>
      </w:pPr>
    </w:lvl>
    <w:lvl w:ilvl="6">
      <w:start w:val="1"/>
      <w:numFmt w:val="decimal"/>
      <w:lvlText w:val="%2.%3.%4.%5.%6.%7."/>
      <w:lvlJc w:val="left"/>
      <w:pPr>
        <w:tabs>
          <w:tab w:val="num" w:pos="0"/>
        </w:tabs>
        <w:ind w:left="5106" w:hanging="360"/>
      </w:pPr>
    </w:lvl>
    <w:lvl w:ilvl="7">
      <w:start w:val="1"/>
      <w:numFmt w:val="lowerLetter"/>
      <w:lvlText w:val="%2.%3.%4.%5.%6.%7.%8."/>
      <w:lvlJc w:val="left"/>
      <w:pPr>
        <w:tabs>
          <w:tab w:val="num" w:pos="0"/>
        </w:tabs>
        <w:ind w:left="5826" w:hanging="360"/>
      </w:pPr>
    </w:lvl>
    <w:lvl w:ilvl="8">
      <w:start w:val="1"/>
      <w:numFmt w:val="lowerRoman"/>
      <w:lvlText w:val="%2.%3.%4.%5.%6.%7.%8.%9."/>
      <w:lvlJc w:val="right"/>
      <w:pPr>
        <w:tabs>
          <w:tab w:val="num" w:pos="0"/>
        </w:tabs>
        <w:ind w:left="6546" w:hanging="180"/>
      </w:pPr>
    </w:lvl>
  </w:abstractNum>
  <w:abstractNum w:abstractNumId="1" w15:restartNumberingAfterBreak="0">
    <w:nsid w:val="0B711575"/>
    <w:multiLevelType w:val="hybridMultilevel"/>
    <w:tmpl w:val="DAF0ECB8"/>
    <w:lvl w:ilvl="0" w:tplc="3362C46A">
      <w:start w:val="1"/>
      <w:numFmt w:val="decimal"/>
      <w:lvlText w:val="%1."/>
      <w:lvlJc w:val="left"/>
      <w:pPr>
        <w:tabs>
          <w:tab w:val="num" w:pos="3420"/>
        </w:tabs>
      </w:pPr>
      <w:rPr>
        <w:rFonts w:cs="Times New Roman"/>
      </w:rPr>
    </w:lvl>
    <w:lvl w:ilvl="1" w:tplc="04190019">
      <w:start w:val="1"/>
      <w:numFmt w:val="lowerLetter"/>
      <w:lvlText w:val="%2."/>
      <w:lvlJc w:val="left"/>
      <w:pPr>
        <w:tabs>
          <w:tab w:val="num" w:pos="720"/>
        </w:tabs>
        <w:ind w:left="720" w:hanging="360"/>
      </w:pPr>
      <w:rPr>
        <w:rFonts w:cs="Times New Roman"/>
      </w:rPr>
    </w:lvl>
    <w:lvl w:ilvl="2" w:tplc="0419001B">
      <w:start w:val="1"/>
      <w:numFmt w:val="lowerRoman"/>
      <w:lvlText w:val="%3."/>
      <w:lvlJc w:val="right"/>
      <w:pPr>
        <w:tabs>
          <w:tab w:val="num" w:pos="1440"/>
        </w:tabs>
        <w:ind w:left="1440" w:hanging="180"/>
      </w:pPr>
      <w:rPr>
        <w:rFonts w:cs="Times New Roman"/>
      </w:rPr>
    </w:lvl>
    <w:lvl w:ilvl="3" w:tplc="0419000F">
      <w:start w:val="1"/>
      <w:numFmt w:val="decimal"/>
      <w:lvlText w:val="%4."/>
      <w:lvlJc w:val="left"/>
      <w:pPr>
        <w:tabs>
          <w:tab w:val="num" w:pos="2160"/>
        </w:tabs>
        <w:ind w:left="2160" w:hanging="360"/>
      </w:pPr>
      <w:rPr>
        <w:rFonts w:cs="Times New Roman"/>
      </w:rPr>
    </w:lvl>
    <w:lvl w:ilvl="4" w:tplc="04190019">
      <w:start w:val="1"/>
      <w:numFmt w:val="lowerLetter"/>
      <w:lvlText w:val="%5."/>
      <w:lvlJc w:val="left"/>
      <w:pPr>
        <w:tabs>
          <w:tab w:val="num" w:pos="2880"/>
        </w:tabs>
        <w:ind w:left="2880" w:hanging="360"/>
      </w:pPr>
      <w:rPr>
        <w:rFonts w:cs="Times New Roman"/>
      </w:rPr>
    </w:lvl>
    <w:lvl w:ilvl="5" w:tplc="0419001B">
      <w:start w:val="1"/>
      <w:numFmt w:val="lowerRoman"/>
      <w:lvlText w:val="%6."/>
      <w:lvlJc w:val="right"/>
      <w:pPr>
        <w:tabs>
          <w:tab w:val="num" w:pos="3600"/>
        </w:tabs>
        <w:ind w:left="3600" w:hanging="180"/>
      </w:pPr>
      <w:rPr>
        <w:rFonts w:cs="Times New Roman"/>
      </w:rPr>
    </w:lvl>
    <w:lvl w:ilvl="6" w:tplc="0419000F">
      <w:start w:val="1"/>
      <w:numFmt w:val="decimal"/>
      <w:lvlText w:val="%7."/>
      <w:lvlJc w:val="left"/>
      <w:pPr>
        <w:tabs>
          <w:tab w:val="num" w:pos="4320"/>
        </w:tabs>
        <w:ind w:left="4320" w:hanging="360"/>
      </w:pPr>
      <w:rPr>
        <w:rFonts w:cs="Times New Roman"/>
      </w:rPr>
    </w:lvl>
    <w:lvl w:ilvl="7" w:tplc="04190019">
      <w:start w:val="1"/>
      <w:numFmt w:val="lowerLetter"/>
      <w:lvlText w:val="%8."/>
      <w:lvlJc w:val="left"/>
      <w:pPr>
        <w:tabs>
          <w:tab w:val="num" w:pos="5040"/>
        </w:tabs>
        <w:ind w:left="5040" w:hanging="360"/>
      </w:pPr>
      <w:rPr>
        <w:rFonts w:cs="Times New Roman"/>
      </w:rPr>
    </w:lvl>
    <w:lvl w:ilvl="8" w:tplc="0419001B">
      <w:start w:val="1"/>
      <w:numFmt w:val="lowerRoman"/>
      <w:lvlText w:val="%9."/>
      <w:lvlJc w:val="right"/>
      <w:pPr>
        <w:tabs>
          <w:tab w:val="num" w:pos="5760"/>
        </w:tabs>
        <w:ind w:left="5760" w:hanging="180"/>
      </w:pPr>
      <w:rPr>
        <w:rFonts w:cs="Times New Roman"/>
      </w:rPr>
    </w:lvl>
  </w:abstractNum>
  <w:abstractNum w:abstractNumId="2" w15:restartNumberingAfterBreak="0">
    <w:nsid w:val="4FCE50AF"/>
    <w:multiLevelType w:val="hybridMultilevel"/>
    <w:tmpl w:val="457E7E5C"/>
    <w:lvl w:ilvl="0" w:tplc="2E802FC0">
      <w:start w:val="1"/>
      <w:numFmt w:val="decimal"/>
      <w:lvlText w:val="%1."/>
      <w:lvlJc w:val="left"/>
      <w:pPr>
        <w:ind w:left="1354" w:hanging="360"/>
      </w:pPr>
      <w:rPr>
        <w:rFonts w:hint="default"/>
      </w:rPr>
    </w:lvl>
    <w:lvl w:ilvl="1" w:tplc="04220019" w:tentative="1">
      <w:start w:val="1"/>
      <w:numFmt w:val="lowerLetter"/>
      <w:lvlText w:val="%2."/>
      <w:lvlJc w:val="left"/>
      <w:pPr>
        <w:ind w:left="2074" w:hanging="360"/>
      </w:pPr>
    </w:lvl>
    <w:lvl w:ilvl="2" w:tplc="0422001B" w:tentative="1">
      <w:start w:val="1"/>
      <w:numFmt w:val="lowerRoman"/>
      <w:lvlText w:val="%3."/>
      <w:lvlJc w:val="right"/>
      <w:pPr>
        <w:ind w:left="2794" w:hanging="180"/>
      </w:pPr>
    </w:lvl>
    <w:lvl w:ilvl="3" w:tplc="0422000F" w:tentative="1">
      <w:start w:val="1"/>
      <w:numFmt w:val="decimal"/>
      <w:lvlText w:val="%4."/>
      <w:lvlJc w:val="left"/>
      <w:pPr>
        <w:ind w:left="3514" w:hanging="360"/>
      </w:pPr>
    </w:lvl>
    <w:lvl w:ilvl="4" w:tplc="04220019" w:tentative="1">
      <w:start w:val="1"/>
      <w:numFmt w:val="lowerLetter"/>
      <w:lvlText w:val="%5."/>
      <w:lvlJc w:val="left"/>
      <w:pPr>
        <w:ind w:left="4234" w:hanging="360"/>
      </w:pPr>
    </w:lvl>
    <w:lvl w:ilvl="5" w:tplc="0422001B" w:tentative="1">
      <w:start w:val="1"/>
      <w:numFmt w:val="lowerRoman"/>
      <w:lvlText w:val="%6."/>
      <w:lvlJc w:val="right"/>
      <w:pPr>
        <w:ind w:left="4954" w:hanging="180"/>
      </w:pPr>
    </w:lvl>
    <w:lvl w:ilvl="6" w:tplc="0422000F" w:tentative="1">
      <w:start w:val="1"/>
      <w:numFmt w:val="decimal"/>
      <w:lvlText w:val="%7."/>
      <w:lvlJc w:val="left"/>
      <w:pPr>
        <w:ind w:left="5674" w:hanging="360"/>
      </w:pPr>
    </w:lvl>
    <w:lvl w:ilvl="7" w:tplc="04220019" w:tentative="1">
      <w:start w:val="1"/>
      <w:numFmt w:val="lowerLetter"/>
      <w:lvlText w:val="%8."/>
      <w:lvlJc w:val="left"/>
      <w:pPr>
        <w:ind w:left="6394" w:hanging="360"/>
      </w:pPr>
    </w:lvl>
    <w:lvl w:ilvl="8" w:tplc="0422001B" w:tentative="1">
      <w:start w:val="1"/>
      <w:numFmt w:val="lowerRoman"/>
      <w:lvlText w:val="%9."/>
      <w:lvlJc w:val="right"/>
      <w:pPr>
        <w:ind w:left="7114"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663D"/>
    <w:rsid w:val="003F297E"/>
    <w:rsid w:val="00757BE0"/>
    <w:rsid w:val="0080663D"/>
    <w:rsid w:val="00883321"/>
    <w:rsid w:val="008F5511"/>
    <w:rsid w:val="00BF0BB1"/>
    <w:rsid w:val="00D9314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40D272E-D474-4970-B6BD-31B78337A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F5511"/>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8F5511"/>
  </w:style>
  <w:style w:type="paragraph" w:styleId="a5">
    <w:name w:val="footer"/>
    <w:basedOn w:val="a"/>
    <w:link w:val="a6"/>
    <w:uiPriority w:val="99"/>
    <w:semiHidden/>
    <w:unhideWhenUsed/>
    <w:rsid w:val="008F5511"/>
    <w:pPr>
      <w:tabs>
        <w:tab w:val="center" w:pos="4819"/>
        <w:tab w:val="right" w:pos="9639"/>
      </w:tabs>
      <w:spacing w:after="0" w:line="240" w:lineRule="auto"/>
    </w:pPr>
  </w:style>
  <w:style w:type="character" w:customStyle="1" w:styleId="a6">
    <w:name w:val="Нижній колонтитул Знак"/>
    <w:basedOn w:val="a0"/>
    <w:link w:val="a5"/>
    <w:uiPriority w:val="99"/>
    <w:semiHidden/>
    <w:rsid w:val="008F5511"/>
  </w:style>
  <w:style w:type="paragraph" w:customStyle="1" w:styleId="a7">
    <w:name w:val="Нормальний текст"/>
    <w:basedOn w:val="a"/>
    <w:rsid w:val="008F5511"/>
    <w:pPr>
      <w:suppressAutoHyphens/>
      <w:spacing w:before="120" w:after="0" w:line="240" w:lineRule="auto"/>
      <w:ind w:firstLine="567"/>
      <w:jc w:val="both"/>
    </w:pPr>
    <w:rPr>
      <w:rFonts w:ascii="Times New Roman" w:eastAsia="Times New Roman" w:hAnsi="Times New Roman" w:cs="Times New Roman"/>
      <w:sz w:val="20"/>
      <w:szCs w:val="20"/>
      <w:lang w:val="ru-RU" w:eastAsia="ar-SA"/>
    </w:rPr>
  </w:style>
  <w:style w:type="paragraph" w:customStyle="1" w:styleId="a8">
    <w:name w:val="Назва документа"/>
    <w:basedOn w:val="a"/>
    <w:next w:val="a7"/>
    <w:rsid w:val="008F5511"/>
    <w:pPr>
      <w:keepNext/>
      <w:keepLines/>
      <w:suppressAutoHyphens/>
      <w:spacing w:before="240" w:after="240" w:line="240" w:lineRule="auto"/>
      <w:jc w:val="center"/>
    </w:pPr>
    <w:rPr>
      <w:rFonts w:ascii="Times New Roman" w:eastAsia="Times New Roman" w:hAnsi="Times New Roman" w:cs="Times New Roman"/>
      <w:sz w:val="20"/>
      <w:szCs w:val="20"/>
      <w:lang w:val="ru-RU" w:eastAsia="ar-SA"/>
    </w:rPr>
  </w:style>
  <w:style w:type="paragraph" w:customStyle="1" w:styleId="ListParagraph">
    <w:name w:val="List Paragraph"/>
    <w:basedOn w:val="a"/>
    <w:rsid w:val="00BF0BB1"/>
    <w:pPr>
      <w:suppressAutoHyphens/>
      <w:spacing w:after="0" w:line="240" w:lineRule="auto"/>
      <w:ind w:left="720"/>
    </w:pPr>
    <w:rPr>
      <w:rFonts w:ascii="Times New Roman" w:eastAsia="Times New Roman" w:hAnsi="Times New Roman" w:cs="Times New Roman"/>
      <w:sz w:val="28"/>
      <w:szCs w:val="28"/>
      <w:lang w:eastAsia="ar-SA"/>
    </w:rPr>
  </w:style>
  <w:style w:type="paragraph" w:styleId="a9">
    <w:name w:val="List Paragraph"/>
    <w:basedOn w:val="a"/>
    <w:uiPriority w:val="34"/>
    <w:qFormat/>
    <w:rsid w:val="00BF0BB1"/>
    <w:pPr>
      <w:ind w:left="720"/>
      <w:contextualSpacing/>
    </w:pPr>
  </w:style>
  <w:style w:type="paragraph" w:styleId="aa">
    <w:name w:val="Balloon Text"/>
    <w:basedOn w:val="a"/>
    <w:link w:val="ab"/>
    <w:uiPriority w:val="99"/>
    <w:semiHidden/>
    <w:unhideWhenUsed/>
    <w:rsid w:val="003F297E"/>
    <w:pPr>
      <w:spacing w:after="0" w:line="240" w:lineRule="auto"/>
    </w:pPr>
    <w:rPr>
      <w:rFonts w:ascii="Segoe UI" w:hAnsi="Segoe UI" w:cs="Segoe UI"/>
      <w:sz w:val="18"/>
      <w:szCs w:val="18"/>
    </w:rPr>
  </w:style>
  <w:style w:type="character" w:customStyle="1" w:styleId="ab">
    <w:name w:val="Текст у виносці Знак"/>
    <w:basedOn w:val="a0"/>
    <w:link w:val="aa"/>
    <w:uiPriority w:val="99"/>
    <w:semiHidden/>
    <w:rsid w:val="003F297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7</Pages>
  <Words>9678</Words>
  <Characters>5518</Characters>
  <Application>Microsoft Office Word</Application>
  <DocSecurity>0</DocSecurity>
  <Lines>45</Lines>
  <Paragraphs>30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15166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Дунда Олег Андрійович</dc:creator>
  <cp:keywords/>
  <dc:description/>
  <cp:lastModifiedBy>Дунда Олег Андрійович</cp:lastModifiedBy>
  <cp:revision>4</cp:revision>
  <cp:lastPrinted>2020-03-25T13:12:00Z</cp:lastPrinted>
  <dcterms:created xsi:type="dcterms:W3CDTF">2020-03-25T12:58:00Z</dcterms:created>
  <dcterms:modified xsi:type="dcterms:W3CDTF">2020-03-25T13:14:00Z</dcterms:modified>
</cp:coreProperties>
</file>