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FE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41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C203D4" w:rsidRDefault="00C203D4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3FE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FE">
        <w:rPr>
          <w:rFonts w:ascii="Times New Roman" w:hAnsi="Times New Roman" w:cs="Times New Roman"/>
          <w:b/>
          <w:sz w:val="28"/>
          <w:szCs w:val="28"/>
        </w:rPr>
        <w:t>до проекту Закону України «Про внесення змін</w:t>
      </w:r>
      <w:r w:rsidR="0034544D">
        <w:rPr>
          <w:rFonts w:ascii="Times New Roman" w:hAnsi="Times New Roman" w:cs="Times New Roman"/>
          <w:b/>
          <w:sz w:val="28"/>
          <w:szCs w:val="28"/>
        </w:rPr>
        <w:t>и</w:t>
      </w:r>
      <w:r w:rsidRPr="003733FE">
        <w:rPr>
          <w:rFonts w:ascii="Times New Roman" w:hAnsi="Times New Roman" w:cs="Times New Roman"/>
          <w:b/>
          <w:sz w:val="28"/>
          <w:szCs w:val="28"/>
        </w:rPr>
        <w:t xml:space="preserve"> до розділу </w:t>
      </w:r>
      <w:hyperlink r:id="rId9" w:anchor="n4162" w:tgtFrame="_blank" w:history="1">
        <w:r w:rsidRPr="003733FE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XI</w:t>
        </w:r>
      </w:hyperlink>
      <w:r w:rsidRPr="003733FE">
        <w:rPr>
          <w:rStyle w:val="rvts0"/>
          <w:rFonts w:ascii="Times New Roman" w:hAnsi="Times New Roman" w:cs="Times New Roman"/>
          <w:b/>
          <w:sz w:val="28"/>
          <w:szCs w:val="28"/>
        </w:rPr>
        <w:t xml:space="preserve">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 розгляду окремих питань під час судового провадження </w:t>
      </w:r>
      <w:r w:rsidRPr="003733FE">
        <w:rPr>
          <w:rFonts w:ascii="Times New Roman" w:hAnsi="Times New Roman" w:cs="Times New Roman"/>
          <w:b/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запобігання поширенню коронавірусної хвороби (COVID</w:t>
      </w:r>
      <w:r w:rsidRPr="00373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noBreakHyphen/>
        <w:t>19)»</w:t>
      </w:r>
    </w:p>
    <w:p w:rsidR="003733FE" w:rsidRPr="0034115F" w:rsidRDefault="003733FE" w:rsidP="00373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68"/>
        <w:gridCol w:w="335"/>
        <w:gridCol w:w="7523"/>
      </w:tblGrid>
      <w:tr w:rsidR="003733FE" w:rsidRPr="00D43462" w:rsidTr="008835D8">
        <w:tc>
          <w:tcPr>
            <w:tcW w:w="7603" w:type="dxa"/>
            <w:gridSpan w:val="2"/>
          </w:tcPr>
          <w:p w:rsidR="003733FE" w:rsidRPr="00D43462" w:rsidRDefault="003733FE" w:rsidP="003733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Зміст положення (норми) чинного законодавства</w:t>
            </w:r>
          </w:p>
        </w:tc>
        <w:tc>
          <w:tcPr>
            <w:tcW w:w="7523" w:type="dxa"/>
          </w:tcPr>
          <w:p w:rsidR="003733FE" w:rsidRPr="00D43462" w:rsidRDefault="003733FE" w:rsidP="003733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Зміст положення (норми)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запропонованого проекту</w:t>
            </w:r>
          </w:p>
        </w:tc>
      </w:tr>
      <w:tr w:rsidR="003733FE" w:rsidRPr="00D43462" w:rsidTr="008835D8">
        <w:tc>
          <w:tcPr>
            <w:tcW w:w="15126" w:type="dxa"/>
            <w:gridSpan w:val="3"/>
          </w:tcPr>
          <w:p w:rsidR="003733FE" w:rsidRPr="00D43462" w:rsidRDefault="003733FE" w:rsidP="008835D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434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Кримінальний процесуальний кодекс України </w:t>
            </w:r>
            <w:r w:rsidRPr="00D4346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D43462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Відомості Верховної Ради України, 2013 р., №№ 9-13, ст. 88</w:t>
            </w:r>
            <w:r w:rsidRPr="00D43462">
              <w:rPr>
                <w:rStyle w:val="rvts0"/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3733FE" w:rsidRPr="00D43462" w:rsidTr="008835D8">
        <w:tc>
          <w:tcPr>
            <w:tcW w:w="7268" w:type="dxa"/>
          </w:tcPr>
          <w:p w:rsidR="003733FE" w:rsidRPr="00D43462" w:rsidRDefault="003733FE" w:rsidP="008835D8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D434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Розділ ХІ «Перехідні положення»</w:t>
            </w:r>
          </w:p>
          <w:p w:rsidR="003733FE" w:rsidRPr="00D43462" w:rsidRDefault="003733FE" w:rsidP="008835D8">
            <w:pPr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Стаття відсутні</w:t>
            </w: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" w:name="n2805"/>
            <w:bookmarkEnd w:id="1"/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3733FE" w:rsidRPr="00D43462" w:rsidRDefault="003733FE" w:rsidP="008835D8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858" w:type="dxa"/>
            <w:gridSpan w:val="2"/>
          </w:tcPr>
          <w:p w:rsidR="003733FE" w:rsidRPr="00D43462" w:rsidRDefault="003733FE" w:rsidP="008835D8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D43462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Розділ ХІ «Перехідні положення»</w:t>
            </w:r>
          </w:p>
          <w:p w:rsidR="003733FE" w:rsidRPr="006C5097" w:rsidRDefault="003733FE" w:rsidP="003733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6C5097"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  <w:t>5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 xml:space="preserve">. Тимчасово, на період карантину, встановленого Кабінетом Міністрів України з метою 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запобігання поширенню на території України коронавірусної хвороби (COVID-19), встановити такі особливості судового контролю за дотриманням прав, свобод та інтересів осіб у кримінальних провадженнях, та розгляду окремих питань під час судового провадження.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Розгляд питань, які віднесено до повноважень слідчого судді (крім 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розслідування), та окремих питань під час судового провадження здійснюється з урахуванням особливостей, визначених цим пунктом.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разі неможливості визначити слідчого суддю у відповідному суді (крім Вищого антикорупційного суду)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місцевий суд вносить вмотивоване подання про передачу клопотання, яке має розглядатися слідчим суддею, для розгляду до іншого суду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 xml:space="preserve"> в межах юрисдикції одного суду апеляційної інстанції або до суду в межах юрисдикції різних апеляційних судів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Невідкладно, але не пізніше 24 годин з моменту надходження такого подання, головою відповідного суду апеляційної інстанції (головою Касаційного кримінального суду Верховного Суду у разі передачі між судами </w:t>
            </w:r>
            <w:r w:rsidRPr="006C5097">
              <w:rPr>
                <w:rFonts w:ascii="Times New Roman" w:hAnsi="Times New Roman"/>
                <w:bCs/>
                <w:sz w:val="28"/>
                <w:szCs w:val="28"/>
              </w:rPr>
              <w:t>в межах юрисдикції різних апеляційних судів</w:t>
            </w: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 розглядається питання про передачу клопотання на розгляд до іншого суду, про що поставляється відповідна ухвала. Спори про підсудність між судами у даному випадку не допускаються.</w:t>
            </w:r>
          </w:p>
          <w:p w:rsidR="003733FE" w:rsidRPr="006C5097" w:rsidRDefault="003733FE" w:rsidP="003733FE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У разі неможливості у визначений цим Кодексом строк суддею (колегією суддів) розглянути клопотання про обрання або продовження запобіжного заходу у вигляді тримання під вартою, крім клопотання поданого на розгляд до Вищого антикорупційного суду, воно може бути передано на розгляд до іншого судді, визначеному у порядку, встановленому частиною третьою статті 35 цього Кодексу або розглянуто головуючим, а за його відсутності іншим суддею зі складу колегії суддів, якщо справа розглядається колегіально,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 передбаченому абзацом шостим цього пункту. </w:t>
            </w:r>
          </w:p>
          <w:p w:rsidR="003733FE" w:rsidRPr="006C5097" w:rsidRDefault="003733FE" w:rsidP="003733FE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Питання про передачу на підставі абзацу п’ятого цього пункту клопотання про обрання або продовження запобіжного заходу у вигляді тримання під вартою для розгляду до іншого </w:t>
            </w:r>
            <w:r w:rsidRPr="006C5097">
              <w:rPr>
                <w:bCs/>
                <w:sz w:val="28"/>
                <w:szCs w:val="28"/>
              </w:rPr>
              <w:lastRenderedPageBreak/>
              <w:t>суду вирішується головою відповідного суду апеляційної інстанції (головою Касаційного кримінального суду Верховного Суду у разі передачі між судами в межах юрисдикції різних апеляційних судів) за вмотивованим поданням місцевого суду (суду апеляційної інстанції) невідкладно, але не пізніше 24 годин з моменту надходження такого подання, про що постановляється відповідна ухвала. Спори про підсудність між судами у даному випадку не допускаються.</w:t>
            </w:r>
          </w:p>
          <w:p w:rsidR="00CA75FE" w:rsidRPr="00CA75FE" w:rsidRDefault="00CA75FE" w:rsidP="00CA75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A75F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Розгляд питань, віднесених до повноважень слідчого судді, суду (крім розгляду клопотання про обрання запобіжного заходу у вигляді тримання під вартою) за його рішенням, прийнятим з власної ініціативи, може бути проведено у режимі відеоконференції, про що повідомляються сторони кримінального провадження у порядку, визначеному статтею 135 цього Кодексу. Слідчий суддя, суд не має права прийняти рішення про проведення судового засідання щодо розгляду клопотання </w:t>
            </w:r>
            <w:r w:rsidRPr="00CA75FE">
              <w:rPr>
                <w:rFonts w:ascii="Times New Roman" w:hAnsi="Times New Roman"/>
                <w:bCs/>
                <w:sz w:val="28"/>
                <w:szCs w:val="28"/>
              </w:rPr>
              <w:t>про продовження строку тримання під вартою</w:t>
            </w:r>
            <w:r w:rsidRPr="00CA75F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у режимі відеоконференції, в якому поза межами приміщення суду перебуває підозрюваний (обвинувачений), якщо він проти цього заперечує.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Проведення судового засідання у режимі відеоконференції, у тому числі під час судового провадження, здійснюється на умовах, визначених абзацом сьомим цього пункту, з дотриманням правил, передбачених частинами третьою-дев’ятою статті 336 цього Кодексу. </w:t>
            </w:r>
          </w:p>
          <w:p w:rsidR="003733FE" w:rsidRPr="006C5097" w:rsidRDefault="003733FE" w:rsidP="003733FE">
            <w:pPr>
              <w:spacing w:after="0" w:line="240" w:lineRule="auto"/>
              <w:ind w:firstLine="61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C50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Участь захисника у судовому засіданні забезпечується відповідно до вимог цього Кодексу. </w:t>
            </w:r>
          </w:p>
          <w:p w:rsidR="003733FE" w:rsidRPr="00D43462" w:rsidRDefault="003733FE" w:rsidP="00C203D4">
            <w:pPr>
              <w:pStyle w:val="rvps2"/>
              <w:shd w:val="clear" w:color="auto" w:fill="FFFFFF"/>
              <w:spacing w:before="0" w:beforeAutospacing="0" w:after="0" w:afterAutospacing="0"/>
              <w:ind w:firstLine="614"/>
              <w:jc w:val="both"/>
              <w:rPr>
                <w:bCs/>
                <w:sz w:val="28"/>
                <w:szCs w:val="28"/>
              </w:rPr>
            </w:pPr>
            <w:r w:rsidRPr="006C5097">
              <w:rPr>
                <w:bCs/>
                <w:sz w:val="28"/>
                <w:szCs w:val="28"/>
              </w:rPr>
              <w:t xml:space="preserve">Під час досудового розслідування та під час судового розгляду клопотання про продовження строку тримання під </w:t>
            </w:r>
            <w:r w:rsidRPr="006C5097">
              <w:rPr>
                <w:bCs/>
                <w:sz w:val="28"/>
                <w:szCs w:val="28"/>
              </w:rPr>
              <w:lastRenderedPageBreak/>
              <w:t>вартою подається не пізніше ніж за десять днів до закінчення дії попередньої ухвали про тримання під вартою.</w:t>
            </w:r>
          </w:p>
          <w:p w:rsidR="003733FE" w:rsidRPr="00D43462" w:rsidRDefault="003733FE" w:rsidP="008835D8">
            <w:pPr>
              <w:pStyle w:val="rvps2"/>
              <w:shd w:val="clear" w:color="auto" w:fill="FFFFFF"/>
              <w:spacing w:before="0" w:beforeAutospacing="0" w:after="0" w:afterAutospacing="0"/>
              <w:ind w:firstLine="478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3733FE" w:rsidRPr="003733FE" w:rsidRDefault="003733FE" w:rsidP="003733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3FE" w:rsidRPr="003733FE" w:rsidRDefault="003733FE" w:rsidP="00373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FE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</w:r>
      <w:r w:rsidRPr="003733FE">
        <w:rPr>
          <w:rFonts w:ascii="Times New Roman" w:hAnsi="Times New Roman" w:cs="Times New Roman"/>
          <w:b/>
          <w:sz w:val="28"/>
          <w:szCs w:val="28"/>
        </w:rPr>
        <w:tab/>
        <w:t>Д.А. Монастирський</w:t>
      </w:r>
    </w:p>
    <w:p w:rsidR="0059734A" w:rsidRDefault="00216EA7"/>
    <w:sectPr w:rsidR="0059734A" w:rsidSect="005720AA">
      <w:footerReference w:type="default" r:id="rId10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EA7" w:rsidRDefault="00216EA7" w:rsidP="00C203D4">
      <w:pPr>
        <w:spacing w:after="0" w:line="240" w:lineRule="auto"/>
      </w:pPr>
      <w:r>
        <w:separator/>
      </w:r>
    </w:p>
  </w:endnote>
  <w:endnote w:type="continuationSeparator" w:id="0">
    <w:p w:rsidR="00216EA7" w:rsidRDefault="00216EA7" w:rsidP="00C20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0095758"/>
      <w:docPartObj>
        <w:docPartGallery w:val="Page Numbers (Bottom of Page)"/>
        <w:docPartUnique/>
      </w:docPartObj>
    </w:sdtPr>
    <w:sdtEndPr/>
    <w:sdtContent>
      <w:p w:rsidR="00C203D4" w:rsidRDefault="00C203D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18D">
          <w:rPr>
            <w:noProof/>
          </w:rPr>
          <w:t>2</w:t>
        </w:r>
        <w:r>
          <w:fldChar w:fldCharType="end"/>
        </w:r>
      </w:p>
    </w:sdtContent>
  </w:sdt>
  <w:p w:rsidR="00C203D4" w:rsidRDefault="00C203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EA7" w:rsidRDefault="00216EA7" w:rsidP="00C203D4">
      <w:pPr>
        <w:spacing w:after="0" w:line="240" w:lineRule="auto"/>
      </w:pPr>
      <w:r>
        <w:separator/>
      </w:r>
    </w:p>
  </w:footnote>
  <w:footnote w:type="continuationSeparator" w:id="0">
    <w:p w:rsidR="00216EA7" w:rsidRDefault="00216EA7" w:rsidP="00C203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144"/>
    <w:rsid w:val="00216EA7"/>
    <w:rsid w:val="002B218D"/>
    <w:rsid w:val="0034544D"/>
    <w:rsid w:val="003733FE"/>
    <w:rsid w:val="004C2C37"/>
    <w:rsid w:val="005C1144"/>
    <w:rsid w:val="005E1B14"/>
    <w:rsid w:val="006A1FF4"/>
    <w:rsid w:val="00812FF1"/>
    <w:rsid w:val="00C203D4"/>
    <w:rsid w:val="00CA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CBFDE-3C87-4F30-B87D-65070F0B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3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37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3733FE"/>
  </w:style>
  <w:style w:type="character" w:styleId="a4">
    <w:name w:val="Hyperlink"/>
    <w:basedOn w:val="a0"/>
    <w:uiPriority w:val="99"/>
    <w:semiHidden/>
    <w:unhideWhenUsed/>
    <w:rsid w:val="003733F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20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203D4"/>
  </w:style>
  <w:style w:type="paragraph" w:styleId="a7">
    <w:name w:val="footer"/>
    <w:basedOn w:val="a"/>
    <w:link w:val="a8"/>
    <w:uiPriority w:val="99"/>
    <w:unhideWhenUsed/>
    <w:rsid w:val="00C20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20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180CC5-9E9D-44F5-A602-D009525FB7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197742-D079-4E24-8186-E170B7E4D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ABC97-A336-4AFA-85E9-9E4A3C4A03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3119</Words>
  <Characters>1779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2020-03-29T20:16:00Z</dcterms:created>
  <dcterms:modified xsi:type="dcterms:W3CDTF">2020-03-29T20:16:00Z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