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sz w:val="28"/>
          <w:szCs w:val="28"/>
        </w:rPr>
      </w:pPr>
      <w:r>
        <w:rPr>
          <w:b/>
          <w:sz w:val="28"/>
          <w:szCs w:val="28"/>
        </w:rPr>
        <w:t xml:space="preserve">ПОЯСНЮВАЛЬНА ЗАПИСКА </w:t>
      </w:r>
    </w:p>
    <w:p>
      <w:pPr>
        <w:jc w:val="center"/>
        <w:rPr>
          <w:b/>
          <w:sz w:val="28"/>
          <w:szCs w:val="28"/>
        </w:rPr>
      </w:pPr>
      <w:r>
        <w:rPr>
          <w:b/>
          <w:sz w:val="28"/>
          <w:szCs w:val="28"/>
        </w:rPr>
        <w:t xml:space="preserve">до проекту постанови Верховної Ради України </w:t>
      </w:r>
    </w:p>
    <w:p>
      <w:pPr>
        <w:jc w:val="center"/>
        <w:rPr>
          <w:b/>
          <w:sz w:val="28"/>
          <w:szCs w:val="28"/>
        </w:rPr>
      </w:pPr>
      <w:r>
        <w:rPr>
          <w:b/>
          <w:sz w:val="28"/>
          <w:szCs w:val="28"/>
        </w:rPr>
        <w:t>«Про скасування рішення Верховної Ради України</w:t>
      </w:r>
      <w:r>
        <w:rPr>
          <w:b/>
          <w:sz w:val="28"/>
          <w:szCs w:val="28"/>
        </w:rPr>
        <w:br/>
        <w:t xml:space="preserve">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w:t>
      </w:r>
      <w:r>
        <w:rPr>
          <w:b/>
          <w:sz w:val="28"/>
          <w:szCs w:val="28"/>
        </w:rPr>
        <w:br/>
        <w:t>(реєстраційний № 2178-10 від 10.10.2019)»</w:t>
      </w:r>
    </w:p>
    <w:p>
      <w:pPr>
        <w:jc w:val="center"/>
        <w:rPr>
          <w:b/>
          <w:sz w:val="28"/>
          <w:szCs w:val="28"/>
        </w:rPr>
      </w:pPr>
    </w:p>
    <w:p>
      <w:pPr>
        <w:pStyle w:val="a4"/>
        <w:numPr>
          <w:ilvl w:val="0"/>
          <w:numId w:val="1"/>
        </w:numPr>
        <w:tabs>
          <w:tab w:val="left" w:pos="851"/>
        </w:tabs>
        <w:spacing w:after="120"/>
        <w:ind w:left="0" w:firstLine="567"/>
        <w:contextualSpacing w:val="0"/>
        <w:jc w:val="both"/>
        <w:rPr>
          <w:b/>
          <w:sz w:val="28"/>
          <w:szCs w:val="28"/>
        </w:rPr>
      </w:pPr>
      <w:r>
        <w:rPr>
          <w:b/>
          <w:sz w:val="28"/>
          <w:szCs w:val="28"/>
        </w:rPr>
        <w:t>Обґрунтування необхідності прийняття проекту постанови</w:t>
      </w:r>
    </w:p>
    <w:p>
      <w:pPr>
        <w:spacing w:after="120" w:line="252" w:lineRule="auto"/>
        <w:ind w:firstLine="567"/>
        <w:jc w:val="both"/>
        <w:rPr>
          <w:sz w:val="28"/>
          <w:szCs w:val="28"/>
        </w:rPr>
      </w:pPr>
      <w:r>
        <w:rPr>
          <w:sz w:val="28"/>
          <w:szCs w:val="28"/>
        </w:rPr>
        <w:t>30 березня 2020 року на позачерговому засіданні Верховної Ради України було ухвалено рішення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(реєстраційний № 2178-10 від 10.10.2019).</w:t>
      </w:r>
    </w:p>
    <w:p>
      <w:pPr>
        <w:spacing w:after="120" w:line="252" w:lineRule="auto"/>
        <w:ind w:firstLine="567"/>
        <w:jc w:val="both"/>
        <w:rPr>
          <w:sz w:val="28"/>
          <w:szCs w:val="28"/>
        </w:rPr>
      </w:pPr>
      <w:r>
        <w:rPr>
          <w:sz w:val="28"/>
          <w:szCs w:val="28"/>
        </w:rPr>
        <w:t>Згідно зі статтею 83 Конституції Україн</w:t>
      </w:r>
      <w:bookmarkStart w:id="0" w:name="_GoBack"/>
      <w:bookmarkEnd w:id="0"/>
      <w:r>
        <w:rPr>
          <w:sz w:val="28"/>
          <w:szCs w:val="28"/>
        </w:rPr>
        <w:t>и порядок роботи парламенту встановлюється Регламентом Верховної Ради України.</w:t>
      </w:r>
    </w:p>
    <w:p>
      <w:pPr>
        <w:pStyle w:val="ab"/>
        <w:tabs>
          <w:tab w:val="left" w:pos="1080"/>
        </w:tabs>
        <w:spacing w:line="252" w:lineRule="auto"/>
        <w:ind w:left="0" w:firstLine="567"/>
        <w:jc w:val="both"/>
        <w:rPr>
          <w:sz w:val="28"/>
          <w:szCs w:val="28"/>
          <w:lang w:val="uk-UA"/>
        </w:rPr>
      </w:pPr>
      <w:r>
        <w:rPr>
          <w:sz w:val="28"/>
          <w:szCs w:val="28"/>
          <w:lang w:val="uk-UA"/>
        </w:rPr>
        <w:t xml:space="preserve">Згідно зі статтею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pPr>
        <w:spacing w:after="120" w:line="252" w:lineRule="auto"/>
        <w:ind w:firstLine="567"/>
        <w:jc w:val="both"/>
        <w:rPr>
          <w:rStyle w:val="rvts0"/>
          <w:sz w:val="28"/>
          <w:szCs w:val="28"/>
        </w:rPr>
      </w:pPr>
      <w:bookmarkStart w:id="1" w:name="o6"/>
      <w:bookmarkEnd w:id="1"/>
      <w:r>
        <w:rPr>
          <w:sz w:val="28"/>
          <w:szCs w:val="28"/>
        </w:rPr>
        <w:t xml:space="preserve">Розгляд та прийняття зазначеного рішення супроводжувався численними порушеннями низки вимог Конституції України та </w:t>
      </w:r>
      <w:r>
        <w:rPr>
          <w:rStyle w:val="rvts0"/>
          <w:sz w:val="28"/>
          <w:szCs w:val="28"/>
        </w:rPr>
        <w:t>встановленої Регламентом Верховної Ради України процедури розгляду та голосування проекту закону. Зокрема, вимог частини першої статті 116, частини першої статті 117, частин першої та другої статті 118, частин другої та п’ятої статті 121 Регламенту.</w:t>
      </w:r>
    </w:p>
    <w:p>
      <w:pPr>
        <w:spacing w:after="120" w:line="252" w:lineRule="auto"/>
        <w:ind w:firstLine="567"/>
        <w:jc w:val="both"/>
        <w:rPr>
          <w:rStyle w:val="rvts0"/>
          <w:sz w:val="28"/>
          <w:szCs w:val="28"/>
        </w:rPr>
      </w:pPr>
      <w:r>
        <w:rPr>
          <w:rStyle w:val="rvts0"/>
          <w:sz w:val="28"/>
          <w:szCs w:val="28"/>
        </w:rPr>
        <w:t xml:space="preserve">На наявність порушень приписів регламенту при розгляді й голосуванні зазначеного законопроекту народні депутати України неодноразово звертали увагу головуючого на планерному засіданні. </w:t>
      </w:r>
    </w:p>
    <w:p>
      <w:pPr>
        <w:pStyle w:val="ab"/>
        <w:tabs>
          <w:tab w:val="left" w:pos="1080"/>
        </w:tabs>
        <w:spacing w:line="252" w:lineRule="auto"/>
        <w:ind w:left="0" w:firstLine="567"/>
        <w:jc w:val="both"/>
        <w:rPr>
          <w:sz w:val="28"/>
          <w:szCs w:val="28"/>
          <w:lang w:val="uk-UA"/>
        </w:rPr>
      </w:pPr>
      <w:r>
        <w:rPr>
          <w:sz w:val="28"/>
          <w:szCs w:val="28"/>
          <w:lang w:val="uk-UA"/>
        </w:rPr>
        <w:t xml:space="preserve">Відповідно до статті 27 Регламенту Верховної Ради України, головуючий на пленарному засіданні Верховної Ради </w:t>
      </w:r>
      <w:bookmarkStart w:id="2" w:name="n237"/>
      <w:bookmarkEnd w:id="2"/>
      <w:r>
        <w:rPr>
          <w:sz w:val="28"/>
          <w:szCs w:val="28"/>
          <w:lang w:val="uk-UA"/>
        </w:rPr>
        <w:t xml:space="preserve">дотримується норм </w:t>
      </w:r>
      <w:hyperlink r:id="rId7" w:tgtFrame="_blank" w:history="1">
        <w:r>
          <w:rPr>
            <w:sz w:val="28"/>
            <w:szCs w:val="28"/>
            <w:lang w:val="uk-UA"/>
          </w:rPr>
          <w:t>Конституції України</w:t>
        </w:r>
      </w:hyperlink>
      <w:r>
        <w:rPr>
          <w:sz w:val="28"/>
          <w:szCs w:val="28"/>
          <w:lang w:val="uk-UA"/>
        </w:rPr>
        <w:t xml:space="preserve"> та цього Регламенту і вживає заходів щодо їх дотримання всіма присутніми на пленарному засіданні; відкриває, веде та закриває пленарні засідання, оголошує перерви в пленарних засіданнях тощо.</w:t>
      </w:r>
    </w:p>
    <w:p>
      <w:pPr>
        <w:pStyle w:val="ab"/>
        <w:tabs>
          <w:tab w:val="left" w:pos="1080"/>
        </w:tabs>
        <w:spacing w:line="252" w:lineRule="auto"/>
        <w:ind w:left="0" w:firstLine="567"/>
        <w:jc w:val="both"/>
        <w:rPr>
          <w:rStyle w:val="rvts0"/>
          <w:sz w:val="28"/>
          <w:szCs w:val="28"/>
          <w:lang w:val="uk-UA"/>
        </w:rPr>
      </w:pPr>
      <w:r>
        <w:rPr>
          <w:sz w:val="28"/>
          <w:szCs w:val="28"/>
          <w:lang w:val="uk-UA"/>
        </w:rPr>
        <w:t xml:space="preserve">Натомість, головуючий при розгляді проекту Закону </w:t>
      </w:r>
      <w:r>
        <w:rPr>
          <w:sz w:val="28"/>
          <w:szCs w:val="28"/>
        </w:rPr>
        <w:t xml:space="preserve">№ 2178-10 </w:t>
      </w:r>
      <w:proofErr w:type="spellStart"/>
      <w:r>
        <w:rPr>
          <w:sz w:val="28"/>
          <w:szCs w:val="28"/>
        </w:rPr>
        <w:t>від</w:t>
      </w:r>
      <w:proofErr w:type="spellEnd"/>
      <w:r>
        <w:rPr>
          <w:sz w:val="28"/>
          <w:szCs w:val="28"/>
        </w:rPr>
        <w:t xml:space="preserve"> 10.10.2019</w:t>
      </w:r>
      <w:r>
        <w:rPr>
          <w:sz w:val="28"/>
          <w:szCs w:val="28"/>
          <w:lang w:val="uk-UA"/>
        </w:rPr>
        <w:t xml:space="preserve"> не дотримався вимог Регламенту.</w:t>
      </w:r>
    </w:p>
    <w:p>
      <w:pPr>
        <w:spacing w:after="120" w:line="252" w:lineRule="auto"/>
        <w:ind w:firstLine="567"/>
        <w:jc w:val="both"/>
        <w:rPr>
          <w:rStyle w:val="rvts0"/>
          <w:sz w:val="28"/>
          <w:szCs w:val="28"/>
        </w:rPr>
      </w:pPr>
      <w:r>
        <w:rPr>
          <w:rStyle w:val="rvts0"/>
          <w:sz w:val="28"/>
          <w:szCs w:val="28"/>
        </w:rPr>
        <w:t>Не виконуючи частину четверту статті 48 Регламенту Верховної Ради України, головуючий не вжив невідкладно заходів для усунення вказаних порушень, залишаючи звернення щодо порушень регламенту без належного розгляду.</w:t>
      </w:r>
    </w:p>
    <w:p>
      <w:pPr>
        <w:spacing w:after="120" w:line="252" w:lineRule="auto"/>
        <w:ind w:firstLine="567"/>
        <w:jc w:val="both"/>
        <w:rPr>
          <w:rStyle w:val="rvts0"/>
          <w:sz w:val="28"/>
          <w:szCs w:val="28"/>
        </w:rPr>
      </w:pPr>
      <w:r>
        <w:rPr>
          <w:rStyle w:val="rvts0"/>
          <w:sz w:val="28"/>
          <w:szCs w:val="28"/>
        </w:rPr>
        <w:lastRenderedPageBreak/>
        <w:t>Зокрема, статтями 116 та 118 Регламенту Верховної Ради України визначено строки подання пропозицій і поправок до законопроекту, який готується до другого читання та встановлено вимоги до змісту порівняльної таблиці законопроекту, підготовленого до другого читання.</w:t>
      </w:r>
    </w:p>
    <w:p>
      <w:pPr>
        <w:spacing w:after="120" w:line="252" w:lineRule="auto"/>
        <w:ind w:firstLine="567"/>
        <w:jc w:val="both"/>
        <w:rPr>
          <w:rStyle w:val="rvts0"/>
          <w:sz w:val="28"/>
          <w:szCs w:val="28"/>
        </w:rPr>
      </w:pPr>
      <w:r>
        <w:rPr>
          <w:rStyle w:val="rvts0"/>
          <w:sz w:val="28"/>
          <w:szCs w:val="28"/>
        </w:rPr>
        <w:t>Частиною другою статті 118 Регламенту Верховної Ради України встановлено, що якщо з тих чи інших причин не всі пропозиції, поправки включені до порівняльної таблиці, головним комітетом готується і подається додаткова порівняльна таблиця.</w:t>
      </w:r>
    </w:p>
    <w:p>
      <w:pPr>
        <w:spacing w:after="120" w:line="252" w:lineRule="auto"/>
        <w:ind w:firstLine="567"/>
        <w:jc w:val="both"/>
        <w:rPr>
          <w:rStyle w:val="rvts0"/>
          <w:sz w:val="28"/>
          <w:szCs w:val="28"/>
        </w:rPr>
      </w:pPr>
      <w:r>
        <w:rPr>
          <w:rStyle w:val="rvts0"/>
          <w:sz w:val="28"/>
          <w:szCs w:val="28"/>
        </w:rPr>
        <w:t>Так само, слід взяти до уваги стенограму засідання Комітету з питань аграрної та земельної політики від 18 грудня 2019 року, опублікованої на офіційному сайт комітету.</w:t>
      </w:r>
    </w:p>
    <w:p>
      <w:pPr>
        <w:spacing w:after="120" w:line="252" w:lineRule="auto"/>
        <w:ind w:firstLine="567"/>
        <w:jc w:val="both"/>
        <w:rPr>
          <w:rStyle w:val="rvts0"/>
          <w:sz w:val="28"/>
          <w:szCs w:val="28"/>
        </w:rPr>
      </w:pPr>
      <w:r>
        <w:rPr>
          <w:rStyle w:val="rvts0"/>
          <w:sz w:val="28"/>
          <w:szCs w:val="28"/>
        </w:rPr>
        <w:t xml:space="preserve">Наприклад, у цій стенограмі зафіксовано, що народний депутат України </w:t>
      </w:r>
      <w:proofErr w:type="spellStart"/>
      <w:r>
        <w:rPr>
          <w:rStyle w:val="rvts0"/>
          <w:sz w:val="28"/>
          <w:szCs w:val="28"/>
        </w:rPr>
        <w:t>Колтунович</w:t>
      </w:r>
      <w:proofErr w:type="spellEnd"/>
      <w:r>
        <w:rPr>
          <w:rStyle w:val="rvts0"/>
          <w:sz w:val="28"/>
          <w:szCs w:val="28"/>
        </w:rPr>
        <w:t xml:space="preserve"> О.С. стверджує, що до порівняльної таблиці не була включена більшість його правок: «… Я щойно не отримав таблицю вчорашню, але, я розумію, вже немає. Але в електронному режимі я глянув - і у мене лише 98 правок, хоча я вам наголошував на першому засіданні, що я подавав 520…».</w:t>
      </w:r>
    </w:p>
    <w:p>
      <w:pPr>
        <w:spacing w:after="120" w:line="252" w:lineRule="auto"/>
        <w:ind w:firstLine="567"/>
        <w:jc w:val="both"/>
        <w:rPr>
          <w:rStyle w:val="rvts0"/>
          <w:sz w:val="28"/>
          <w:szCs w:val="28"/>
        </w:rPr>
      </w:pPr>
      <w:r>
        <w:rPr>
          <w:rStyle w:val="rvts0"/>
          <w:sz w:val="28"/>
          <w:szCs w:val="28"/>
        </w:rPr>
        <w:t>Про аналогічну проблему повідомляли і лідери депутатських фракцій за результатами розгляду наданих матеріалів.</w:t>
      </w:r>
    </w:p>
    <w:p>
      <w:pPr>
        <w:spacing w:after="120" w:line="252" w:lineRule="auto"/>
        <w:ind w:firstLine="567"/>
        <w:jc w:val="both"/>
        <w:rPr>
          <w:sz w:val="28"/>
          <w:szCs w:val="28"/>
        </w:rPr>
      </w:pPr>
      <w:r>
        <w:rPr>
          <w:rStyle w:val="rvts0"/>
          <w:sz w:val="28"/>
          <w:szCs w:val="28"/>
        </w:rPr>
        <w:t xml:space="preserve">Таким чином, рішення </w:t>
      </w:r>
      <w:r>
        <w:rPr>
          <w:sz w:val="28"/>
          <w:szCs w:val="28"/>
        </w:rPr>
        <w:t>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прийнято з порушеннями встановленої Регламентом процедури розгляду й голосування.</w:t>
      </w:r>
    </w:p>
    <w:p>
      <w:pPr>
        <w:spacing w:after="120" w:line="252" w:lineRule="auto"/>
        <w:ind w:firstLine="567"/>
        <w:jc w:val="both"/>
        <w:rPr>
          <w:sz w:val="28"/>
          <w:szCs w:val="28"/>
        </w:rPr>
      </w:pPr>
      <w:r>
        <w:rPr>
          <w:sz w:val="28"/>
          <w:szCs w:val="28"/>
        </w:rPr>
        <w:t>При цьому, окрім зазначеного порушення, вбачаю, що ухвалене рішення суперечить інтересам держави та її громадян.</w:t>
      </w:r>
    </w:p>
    <w:p>
      <w:pPr>
        <w:spacing w:after="120" w:line="252" w:lineRule="auto"/>
        <w:ind w:firstLine="567"/>
        <w:jc w:val="both"/>
        <w:rPr>
          <w:sz w:val="28"/>
          <w:szCs w:val="28"/>
        </w:rPr>
      </w:pPr>
      <w:r>
        <w:rPr>
          <w:sz w:val="28"/>
          <w:szCs w:val="28"/>
        </w:rPr>
        <w:t>Відповідно до частини першої статті 48 Регламенту, рішення Верховної Ради можуть бути скасовані Верховною Радою до підписання відповідного акту Верховної Ради Головою Верховної Ради України.</w:t>
      </w:r>
    </w:p>
    <w:p>
      <w:pPr>
        <w:spacing w:after="120" w:line="252" w:lineRule="auto"/>
        <w:ind w:firstLine="567"/>
        <w:jc w:val="both"/>
        <w:rPr>
          <w:sz w:val="28"/>
          <w:szCs w:val="28"/>
        </w:rPr>
      </w:pPr>
      <w:r>
        <w:rPr>
          <w:sz w:val="28"/>
          <w:szCs w:val="28"/>
        </w:rPr>
        <w:t>Зважаючи на викладене, у відповідності до частини шостої статті 48 Регламенту, вноситься проект постанови про скасування рішення Верховної Ради України про прийняття зазначеного проекту закону в цілому.</w:t>
      </w:r>
    </w:p>
    <w:p>
      <w:pPr>
        <w:pStyle w:val="a4"/>
        <w:numPr>
          <w:ilvl w:val="0"/>
          <w:numId w:val="1"/>
        </w:numPr>
        <w:tabs>
          <w:tab w:val="left" w:pos="851"/>
        </w:tabs>
        <w:spacing w:after="120"/>
        <w:ind w:left="0" w:firstLine="567"/>
        <w:contextualSpacing w:val="0"/>
        <w:jc w:val="both"/>
        <w:rPr>
          <w:rStyle w:val="rvts0"/>
          <w:b/>
          <w:sz w:val="28"/>
          <w:szCs w:val="28"/>
        </w:rPr>
      </w:pPr>
      <w:r>
        <w:rPr>
          <w:rStyle w:val="rvts0"/>
          <w:b/>
          <w:sz w:val="28"/>
          <w:szCs w:val="28"/>
        </w:rPr>
        <w:t>Цілі й завдання прийняття проекту постанови</w:t>
      </w:r>
    </w:p>
    <w:p>
      <w:pPr>
        <w:pStyle w:val="a4"/>
        <w:tabs>
          <w:tab w:val="left" w:pos="851"/>
        </w:tabs>
        <w:spacing w:after="120" w:line="252" w:lineRule="auto"/>
        <w:ind w:left="0" w:firstLine="567"/>
        <w:contextualSpacing w:val="0"/>
        <w:jc w:val="both"/>
        <w:rPr>
          <w:sz w:val="28"/>
          <w:szCs w:val="28"/>
        </w:rPr>
      </w:pPr>
      <w:r>
        <w:rPr>
          <w:rStyle w:val="rvts0"/>
          <w:sz w:val="28"/>
          <w:szCs w:val="28"/>
        </w:rPr>
        <w:t>Ініційований проект постанови має за мету скасування</w:t>
      </w:r>
      <w:r>
        <w:rPr>
          <w:rStyle w:val="rvts0"/>
          <w:b/>
          <w:sz w:val="28"/>
          <w:szCs w:val="28"/>
        </w:rPr>
        <w:t xml:space="preserve"> </w:t>
      </w:r>
      <w:r>
        <w:rPr>
          <w:sz w:val="28"/>
          <w:szCs w:val="28"/>
        </w:rPr>
        <w:t xml:space="preserve">рішення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(реєстраційний № 2178-10 від 10.10.2019), маючи своїм завданням усунення наслідків порушення встановленої Регламентом процедури при розгляді й голосуванні за даний законопроект. </w:t>
      </w:r>
    </w:p>
    <w:p>
      <w:pPr>
        <w:pStyle w:val="a4"/>
        <w:numPr>
          <w:ilvl w:val="0"/>
          <w:numId w:val="1"/>
        </w:numPr>
        <w:tabs>
          <w:tab w:val="left" w:pos="851"/>
        </w:tabs>
        <w:spacing w:after="120"/>
        <w:ind w:left="0" w:firstLine="567"/>
        <w:contextualSpacing w:val="0"/>
        <w:jc w:val="both"/>
        <w:rPr>
          <w:rStyle w:val="rvts0"/>
          <w:b/>
          <w:sz w:val="28"/>
          <w:szCs w:val="28"/>
        </w:rPr>
      </w:pPr>
      <w:r>
        <w:rPr>
          <w:rStyle w:val="rvts0"/>
          <w:b/>
          <w:sz w:val="28"/>
          <w:szCs w:val="28"/>
        </w:rPr>
        <w:lastRenderedPageBreak/>
        <w:t>Загальна характеристика й основні положення проекту постанови</w:t>
      </w:r>
    </w:p>
    <w:p>
      <w:pPr>
        <w:tabs>
          <w:tab w:val="left" w:pos="851"/>
        </w:tabs>
        <w:spacing w:after="120" w:line="252" w:lineRule="auto"/>
        <w:ind w:firstLine="567"/>
        <w:jc w:val="both"/>
        <w:rPr>
          <w:sz w:val="28"/>
          <w:szCs w:val="28"/>
        </w:rPr>
      </w:pPr>
      <w:r>
        <w:rPr>
          <w:rStyle w:val="rvts0"/>
          <w:sz w:val="28"/>
          <w:szCs w:val="28"/>
        </w:rPr>
        <w:t xml:space="preserve">Проектом постанови пропонується </w:t>
      </w:r>
      <w:r>
        <w:rPr>
          <w:sz w:val="28"/>
          <w:szCs w:val="28"/>
        </w:rPr>
        <w:t xml:space="preserve">скасувати рішення Верховної Ради України від 30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(реєстраційний № 2178-10 від 10.10.2019), </w:t>
      </w:r>
      <w:r>
        <w:rPr>
          <w:bCs/>
          <w:sz w:val="28"/>
          <w:szCs w:val="28"/>
        </w:rPr>
        <w:t>як таке, що прийняте з грубим порушенням вимог Конституції України та Регламенту Верховної Ради України.</w:t>
      </w:r>
    </w:p>
    <w:p>
      <w:pPr>
        <w:pStyle w:val="a4"/>
        <w:numPr>
          <w:ilvl w:val="0"/>
          <w:numId w:val="1"/>
        </w:numPr>
        <w:tabs>
          <w:tab w:val="left" w:pos="851"/>
        </w:tabs>
        <w:spacing w:after="120"/>
        <w:ind w:left="0" w:firstLine="567"/>
        <w:contextualSpacing w:val="0"/>
        <w:jc w:val="both"/>
        <w:rPr>
          <w:rStyle w:val="rvts0"/>
          <w:b/>
          <w:sz w:val="28"/>
          <w:szCs w:val="28"/>
        </w:rPr>
      </w:pPr>
      <w:r>
        <w:rPr>
          <w:rStyle w:val="rvts0"/>
          <w:b/>
          <w:sz w:val="28"/>
          <w:szCs w:val="28"/>
        </w:rPr>
        <w:t>Стан нормативно-правової бази у даній сфері правового регулювання</w:t>
      </w:r>
    </w:p>
    <w:p>
      <w:pPr>
        <w:pStyle w:val="a4"/>
        <w:tabs>
          <w:tab w:val="left" w:pos="851"/>
        </w:tabs>
        <w:spacing w:after="120" w:line="252" w:lineRule="auto"/>
        <w:ind w:left="0" w:firstLine="567"/>
        <w:contextualSpacing w:val="0"/>
        <w:jc w:val="both"/>
        <w:rPr>
          <w:rStyle w:val="rvts0"/>
          <w:sz w:val="28"/>
          <w:szCs w:val="28"/>
        </w:rPr>
      </w:pPr>
      <w:r>
        <w:rPr>
          <w:rStyle w:val="rvts0"/>
          <w:sz w:val="28"/>
          <w:szCs w:val="28"/>
        </w:rPr>
        <w:t>Згідно зі статтею 83 Конституції України, порядок роботи парламенту встановлюється</w:t>
      </w:r>
      <w:r>
        <w:t xml:space="preserve"> </w:t>
      </w:r>
      <w:r>
        <w:rPr>
          <w:rStyle w:val="rvts0"/>
          <w:sz w:val="28"/>
          <w:szCs w:val="28"/>
        </w:rPr>
        <w:t xml:space="preserve">Конституцією України та Регламентом Верховної Ради України. </w:t>
      </w:r>
    </w:p>
    <w:p>
      <w:pPr>
        <w:pStyle w:val="a4"/>
        <w:tabs>
          <w:tab w:val="left" w:pos="851"/>
        </w:tabs>
        <w:spacing w:after="120" w:line="252" w:lineRule="auto"/>
        <w:ind w:left="0" w:firstLine="567"/>
        <w:contextualSpacing w:val="0"/>
        <w:jc w:val="both"/>
        <w:rPr>
          <w:rStyle w:val="rvts0"/>
          <w:sz w:val="28"/>
          <w:szCs w:val="28"/>
          <w:lang w:val="ru-RU"/>
        </w:rPr>
      </w:pPr>
      <w:r>
        <w:rPr>
          <w:rStyle w:val="rvts0"/>
          <w:sz w:val="28"/>
          <w:szCs w:val="28"/>
        </w:rPr>
        <w:t xml:space="preserve">Тому основним законодавчим актом у даній сфері правового регулювання є Закон України «Про Регламент Верховної Ради України». </w:t>
      </w:r>
    </w:p>
    <w:p>
      <w:pPr>
        <w:pStyle w:val="a4"/>
        <w:tabs>
          <w:tab w:val="left" w:pos="851"/>
        </w:tabs>
        <w:spacing w:after="240" w:line="252" w:lineRule="auto"/>
        <w:ind w:left="0" w:firstLine="567"/>
        <w:contextualSpacing w:val="0"/>
        <w:jc w:val="both"/>
        <w:rPr>
          <w:rStyle w:val="rvts0"/>
          <w:sz w:val="28"/>
          <w:szCs w:val="28"/>
        </w:rPr>
      </w:pPr>
      <w:r>
        <w:rPr>
          <w:rStyle w:val="rvts0"/>
          <w:sz w:val="28"/>
          <w:szCs w:val="28"/>
        </w:rPr>
        <w:t>Ухвалення проекту постанови не потребує внесення змін до інших законодавчих актів України.</w:t>
      </w:r>
    </w:p>
    <w:p>
      <w:pPr>
        <w:pStyle w:val="a4"/>
        <w:numPr>
          <w:ilvl w:val="0"/>
          <w:numId w:val="1"/>
        </w:numPr>
        <w:tabs>
          <w:tab w:val="left" w:pos="0"/>
          <w:tab w:val="left" w:pos="851"/>
        </w:tabs>
        <w:spacing w:after="120"/>
        <w:ind w:left="0" w:firstLine="567"/>
        <w:contextualSpacing w:val="0"/>
        <w:jc w:val="both"/>
        <w:rPr>
          <w:rStyle w:val="rvts0"/>
          <w:b/>
          <w:sz w:val="28"/>
          <w:szCs w:val="28"/>
        </w:rPr>
      </w:pPr>
      <w:r>
        <w:rPr>
          <w:rStyle w:val="rvts0"/>
          <w:b/>
          <w:sz w:val="28"/>
          <w:szCs w:val="28"/>
        </w:rPr>
        <w:t>Фінансово-економічне обґрунтування</w:t>
      </w:r>
    </w:p>
    <w:p>
      <w:pPr>
        <w:pStyle w:val="a4"/>
        <w:tabs>
          <w:tab w:val="left" w:pos="0"/>
          <w:tab w:val="left" w:pos="851"/>
        </w:tabs>
        <w:spacing w:after="240" w:line="252" w:lineRule="auto"/>
        <w:ind w:left="0" w:firstLine="567"/>
        <w:contextualSpacing w:val="0"/>
        <w:jc w:val="both"/>
        <w:rPr>
          <w:rStyle w:val="rvts0"/>
          <w:sz w:val="28"/>
          <w:szCs w:val="28"/>
        </w:rPr>
      </w:pPr>
      <w:r>
        <w:rPr>
          <w:rStyle w:val="rvts0"/>
          <w:sz w:val="28"/>
          <w:szCs w:val="28"/>
        </w:rPr>
        <w:t>Прийняття та реалізація проекту постанови не потребує додаткових видатків з державного та/або місцевих бюджетів.</w:t>
      </w:r>
    </w:p>
    <w:p>
      <w:pPr>
        <w:pStyle w:val="a4"/>
        <w:numPr>
          <w:ilvl w:val="0"/>
          <w:numId w:val="1"/>
        </w:numPr>
        <w:tabs>
          <w:tab w:val="left" w:pos="0"/>
          <w:tab w:val="left" w:pos="851"/>
        </w:tabs>
        <w:spacing w:after="120"/>
        <w:ind w:left="0" w:firstLine="567"/>
        <w:contextualSpacing w:val="0"/>
        <w:jc w:val="both"/>
        <w:rPr>
          <w:rStyle w:val="rvts0"/>
          <w:b/>
          <w:sz w:val="28"/>
          <w:szCs w:val="28"/>
        </w:rPr>
      </w:pPr>
      <w:r>
        <w:rPr>
          <w:rStyle w:val="rvts0"/>
          <w:b/>
          <w:sz w:val="28"/>
          <w:szCs w:val="28"/>
        </w:rPr>
        <w:t xml:space="preserve">Соціально-економічні, правові та інші наслідки ухвалення проекту постанови </w:t>
      </w:r>
    </w:p>
    <w:p>
      <w:pPr>
        <w:pStyle w:val="a4"/>
        <w:tabs>
          <w:tab w:val="left" w:pos="0"/>
          <w:tab w:val="left" w:pos="851"/>
        </w:tabs>
        <w:spacing w:after="120" w:line="252" w:lineRule="auto"/>
        <w:ind w:left="0" w:firstLine="567"/>
        <w:contextualSpacing w:val="0"/>
        <w:jc w:val="both"/>
        <w:rPr>
          <w:sz w:val="28"/>
          <w:szCs w:val="28"/>
        </w:rPr>
      </w:pPr>
      <w:r>
        <w:rPr>
          <w:rStyle w:val="rvts0"/>
          <w:sz w:val="28"/>
          <w:szCs w:val="28"/>
        </w:rPr>
        <w:t>Прийняття проекту постанови забезпечить безумовну реалізацію положень Основного Закону України та дозволить усунути допущені грубі порушення Регламенту Верховної Ради України, а також уникнути легалізації прийнятого з істотними порушеннями Регламенту рішення про прийняття в цілому законопроекту щодо обігу земель сільськогосподарського призначення (</w:t>
      </w:r>
      <w:r>
        <w:rPr>
          <w:sz w:val="28"/>
          <w:szCs w:val="28"/>
        </w:rPr>
        <w:t>реєстраційний № 2178-10 від 10.10.2019</w:t>
      </w:r>
      <w:r>
        <w:rPr>
          <w:rStyle w:val="rvts0"/>
          <w:sz w:val="28"/>
          <w:szCs w:val="28"/>
        </w:rPr>
        <w:t xml:space="preserve">), яке крім цього </w:t>
      </w:r>
      <w:r>
        <w:rPr>
          <w:sz w:val="28"/>
          <w:szCs w:val="28"/>
        </w:rPr>
        <w:t>суперечить інтересам держави та її громадян.</w:t>
      </w:r>
    </w:p>
    <w:tbl>
      <w:tblPr>
        <w:tblW w:w="0" w:type="auto"/>
        <w:tblLook w:val="04A0" w:firstRow="1" w:lastRow="0" w:firstColumn="1" w:lastColumn="0" w:noHBand="0" w:noVBand="1"/>
      </w:tblPr>
      <w:tblGrid>
        <w:gridCol w:w="4681"/>
        <w:gridCol w:w="4673"/>
      </w:tblGrid>
      <w:tr>
        <w:tc>
          <w:tcPr>
            <w:tcW w:w="4681" w:type="dxa"/>
          </w:tcPr>
          <w:p>
            <w:pPr>
              <w:widowControl w:val="0"/>
              <w:suppressAutoHyphens/>
              <w:spacing w:before="240" w:after="120" w:line="264" w:lineRule="auto"/>
              <w:ind w:left="607"/>
              <w:rPr>
                <w:sz w:val="28"/>
                <w:szCs w:val="28"/>
              </w:rPr>
            </w:pPr>
          </w:p>
        </w:tc>
        <w:tc>
          <w:tcPr>
            <w:tcW w:w="4673" w:type="dxa"/>
          </w:tcPr>
          <w:p>
            <w:pPr>
              <w:widowControl w:val="0"/>
              <w:suppressAutoHyphens/>
              <w:spacing w:after="120" w:line="264" w:lineRule="auto"/>
              <w:jc w:val="right"/>
              <w:rPr>
                <w:rFonts w:eastAsia="SimSun"/>
                <w:b/>
                <w:bCs/>
                <w:kern w:val="1"/>
                <w:sz w:val="28"/>
                <w:szCs w:val="28"/>
                <w:lang w:eastAsia="zh-CN"/>
              </w:rPr>
            </w:pPr>
          </w:p>
        </w:tc>
      </w:tr>
      <w:tr>
        <w:tc>
          <w:tcPr>
            <w:tcW w:w="4681" w:type="dxa"/>
          </w:tcPr>
          <w:p>
            <w:pPr>
              <w:widowControl w:val="0"/>
              <w:suppressAutoHyphens/>
              <w:spacing w:after="120" w:line="264" w:lineRule="auto"/>
              <w:ind w:left="604"/>
              <w:rPr>
                <w:rFonts w:eastAsia="SimSun"/>
                <w:b/>
                <w:bCs/>
                <w:kern w:val="1"/>
                <w:sz w:val="28"/>
                <w:szCs w:val="28"/>
                <w:lang w:eastAsia="zh-CN"/>
              </w:rPr>
            </w:pPr>
            <w:r>
              <w:rPr>
                <w:rFonts w:eastAsia="SimSun"/>
                <w:b/>
                <w:bCs/>
                <w:kern w:val="1"/>
                <w:sz w:val="28"/>
                <w:szCs w:val="28"/>
                <w:lang w:eastAsia="zh-CN"/>
              </w:rPr>
              <w:t>Народний депутат України</w:t>
            </w:r>
          </w:p>
        </w:tc>
        <w:tc>
          <w:tcPr>
            <w:tcW w:w="4673" w:type="dxa"/>
          </w:tcPr>
          <w:p>
            <w:pPr>
              <w:widowControl w:val="0"/>
              <w:suppressAutoHyphens/>
              <w:spacing w:after="120" w:line="264" w:lineRule="auto"/>
              <w:jc w:val="right"/>
              <w:rPr>
                <w:rFonts w:eastAsia="SimSun"/>
                <w:b/>
                <w:bCs/>
                <w:kern w:val="1"/>
                <w:sz w:val="28"/>
                <w:szCs w:val="28"/>
                <w:lang w:eastAsia="zh-CN"/>
              </w:rPr>
            </w:pPr>
            <w:r>
              <w:rPr>
                <w:rFonts w:eastAsia="SimSun"/>
                <w:b/>
                <w:bCs/>
                <w:kern w:val="1"/>
                <w:sz w:val="28"/>
                <w:szCs w:val="28"/>
                <w:lang w:eastAsia="zh-CN"/>
              </w:rPr>
              <w:t>Кучеренко О.Ю.</w:t>
            </w:r>
          </w:p>
          <w:p>
            <w:pPr>
              <w:widowControl w:val="0"/>
              <w:suppressAutoHyphens/>
              <w:spacing w:after="120" w:line="264" w:lineRule="auto"/>
              <w:jc w:val="right"/>
              <w:rPr>
                <w:rFonts w:eastAsia="SimSun"/>
                <w:bCs/>
                <w:kern w:val="1"/>
                <w:lang w:eastAsia="zh-CN"/>
              </w:rPr>
            </w:pPr>
            <w:r>
              <w:rPr>
                <w:rFonts w:eastAsia="SimSun"/>
                <w:bCs/>
                <w:kern w:val="1"/>
                <w:lang w:eastAsia="zh-CN"/>
              </w:rPr>
              <w:t>(посвідчення № 179)</w:t>
            </w:r>
          </w:p>
        </w:tc>
      </w:tr>
    </w:tbl>
    <w:p>
      <w:pPr>
        <w:tabs>
          <w:tab w:val="left" w:pos="851"/>
        </w:tabs>
        <w:jc w:val="both"/>
        <w:rPr>
          <w:sz w:val="28"/>
          <w:szCs w:val="28"/>
        </w:rPr>
      </w:pPr>
    </w:p>
    <w:sectPr>
      <w:headerReference w:type="default" r:id="rId8"/>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4796"/>
      <w:docPartObj>
        <w:docPartGallery w:val="Page Numbers (Top of Page)"/>
        <w:docPartUnique/>
      </w:docPartObj>
    </w:sdtPr>
    <w:sdtContent>
      <w:p>
        <w:pPr>
          <w:pStyle w:val="a5"/>
          <w:jc w:val="center"/>
        </w:pPr>
        <w:r>
          <w:fldChar w:fldCharType="begin"/>
        </w:r>
        <w:r>
          <w:instrText xml:space="preserve"> PAGE   \* MERGEFORMAT </w:instrText>
        </w:r>
        <w:r>
          <w:fldChar w:fldCharType="separate"/>
        </w:r>
        <w:r>
          <w:rPr>
            <w:noProof/>
          </w:rPr>
          <w:t>3</w:t>
        </w:r>
        <w:r>
          <w:rPr>
            <w:noProof/>
          </w:rPr>
          <w:fldChar w:fldCharType="end"/>
        </w:r>
      </w:p>
    </w:sdtContent>
  </w:sdt>
  <w:p>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0071"/>
    <w:multiLevelType w:val="hybridMultilevel"/>
    <w:tmpl w:val="34424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BB1DE-8F5D-4597-A38C-59550951C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rPr>
  </w:style>
  <w:style w:type="paragraph" w:styleId="3">
    <w:name w:val="heading 3"/>
    <w:basedOn w:val="a"/>
    <w:link w:val="30"/>
    <w:qFormat/>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Pr>
      <w:b/>
      <w:bCs/>
      <w:sz w:val="27"/>
      <w:szCs w:val="27"/>
    </w:rPr>
  </w:style>
  <w:style w:type="character" w:styleId="a3">
    <w:name w:val="Emphasis"/>
    <w:basedOn w:val="a0"/>
    <w:qFormat/>
    <w:rPr>
      <w:i/>
      <w:iCs/>
    </w:rPr>
  </w:style>
  <w:style w:type="paragraph" w:styleId="a4">
    <w:name w:val="List Paragraph"/>
    <w:basedOn w:val="a"/>
    <w:uiPriority w:val="34"/>
    <w:qFormat/>
    <w:pPr>
      <w:ind w:left="720"/>
      <w:contextualSpacing/>
    </w:pPr>
  </w:style>
  <w:style w:type="character" w:customStyle="1" w:styleId="rvts0">
    <w:name w:val="rvts0"/>
    <w:basedOn w:val="a0"/>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sz w:val="24"/>
      <w:szCs w:val="24"/>
      <w:lang w:val="uk-UA"/>
    </w:rPr>
  </w:style>
  <w:style w:type="paragraph" w:styleId="a7">
    <w:name w:val="footer"/>
    <w:basedOn w:val="a"/>
    <w:link w:val="a8"/>
    <w:uiPriority w:val="99"/>
    <w:semiHidden/>
    <w:unhideWhenUsed/>
    <w:pPr>
      <w:tabs>
        <w:tab w:val="center" w:pos="4677"/>
        <w:tab w:val="right" w:pos="9355"/>
      </w:tabs>
    </w:pPr>
  </w:style>
  <w:style w:type="character" w:customStyle="1" w:styleId="a8">
    <w:name w:val="Нижний колонтитул Знак"/>
    <w:basedOn w:val="a0"/>
    <w:link w:val="a7"/>
    <w:uiPriority w:val="99"/>
    <w:semiHidden/>
    <w:rPr>
      <w:sz w:val="24"/>
      <w:szCs w:val="24"/>
      <w:lang w:val="uk-UA"/>
    </w:rPr>
  </w:style>
  <w:style w:type="paragraph" w:styleId="a9">
    <w:name w:val="Balloon Text"/>
    <w:basedOn w:val="a"/>
    <w:link w:val="aa"/>
    <w:uiPriority w:val="99"/>
    <w:semiHidden/>
    <w:unhideWhenUsed/>
    <w:rPr>
      <w:rFonts w:ascii="Tahoma" w:hAnsi="Tahoma" w:cs="Tahoma"/>
      <w:sz w:val="16"/>
      <w:szCs w:val="16"/>
    </w:rPr>
  </w:style>
  <w:style w:type="character" w:customStyle="1" w:styleId="aa">
    <w:name w:val="Текст выноски Знак"/>
    <w:basedOn w:val="a0"/>
    <w:link w:val="a9"/>
    <w:uiPriority w:val="99"/>
    <w:semiHidden/>
    <w:rPr>
      <w:rFonts w:ascii="Tahoma" w:hAnsi="Tahoma" w:cs="Tahoma"/>
      <w:sz w:val="16"/>
      <w:szCs w:val="16"/>
      <w:lang w:val="uk-UA"/>
    </w:rPr>
  </w:style>
  <w:style w:type="paragraph" w:styleId="ab">
    <w:name w:val="Body Text Indent"/>
    <w:basedOn w:val="a"/>
    <w:link w:val="ac"/>
    <w:uiPriority w:val="99"/>
    <w:unhideWhenUsed/>
    <w:pPr>
      <w:spacing w:after="120"/>
      <w:ind w:left="283"/>
    </w:pPr>
    <w:rPr>
      <w:lang w:val="ru-RU"/>
    </w:rPr>
  </w:style>
  <w:style w:type="character" w:customStyle="1" w:styleId="ac">
    <w:name w:val="Основной текст с отступом Знак"/>
    <w:basedOn w:val="a0"/>
    <w:link w:val="ab"/>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3.rada.gov.ua/rada/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4049</Words>
  <Characters>2309</Characters>
  <DocSecurity>0</DocSecurity>
  <Lines>19</Lines>
  <Paragraphs>12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2020-03-31T14:06:00Z</dcterms:created>
  <dcterms:modified xsi:type="dcterms:W3CDTF">2020-03-31T15:08:00Z</dcterms:modified>
</cp:coreProperties>
</file>