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094852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1EF1FE98" wp14:editId="44C0BEF9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094852" w:rsidRPr="00094852" w:rsidRDefault="00094852" w:rsidP="00094852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094852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094852" w:rsidRPr="00094852" w:rsidRDefault="00094852" w:rsidP="0009485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094852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094852" w:rsidRPr="00094852" w:rsidRDefault="00094852" w:rsidP="000948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Закону України </w:t>
      </w: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деяких законодавчих актів України щодо обов’язковості використання рідкого біопалива (біокомпонентів) у галузі транспорту»</w:t>
      </w:r>
    </w:p>
    <w:p w:rsid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3356 від 17.04.2020, нар. депутат О. </w:t>
      </w:r>
      <w:proofErr w:type="spellStart"/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Семінський</w:t>
      </w:r>
      <w:proofErr w:type="spellEnd"/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53C62">
        <w:rPr>
          <w:rStyle w:val="a9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094852" w:rsidRPr="00094852" w:rsidRDefault="00094852" w:rsidP="000948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852" w:rsidRDefault="00094852" w:rsidP="0009485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</w:t>
      </w: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кту.</w:t>
      </w:r>
    </w:p>
    <w:p w:rsidR="00094852" w:rsidRDefault="00094852" w:rsidP="000948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852" w:rsidRPr="00094852" w:rsidRDefault="00094852" w:rsidP="00094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Метою, яка покладена в основу проекту Закону, є створення нормативно-правової бази для розвитку сфери виробництва, обігу та використання рідкого біопалива на транспорті.</w:t>
      </w:r>
    </w:p>
    <w:p w:rsidR="00094852" w:rsidRPr="00094852" w:rsidRDefault="00094852" w:rsidP="00094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Закону передбачається внесення змін до Закону України «Про альтернативні види палива», Закону України «Про основні засади державного нагляду (контролю) у сфері господарської діяльності» в частині:</w:t>
      </w:r>
    </w:p>
    <w:p w:rsidR="00094852" w:rsidRPr="00094852" w:rsidRDefault="00094852" w:rsidP="00094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визначення обов’язкового вмісту рідкого біопалива (</w:t>
      </w:r>
      <w:proofErr w:type="spellStart"/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біокомпонетів</w:t>
      </w:r>
      <w:proofErr w:type="spellEnd"/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усіх обсягах бензинів автомобільних, що відпускаються з місць виробництва пального, місць оптової торгівлі пальним та місць роздрібної торгівлі пальним, за виключенням бензинів з октановим числом 98 і вище та бензинів, що поставляються для потреб Міністерства оборони, Державного резерву та для створення мінімальних запасів нафти та нафтопродуктів.</w:t>
      </w:r>
    </w:p>
    <w:p w:rsidR="00094852" w:rsidRPr="00094852" w:rsidRDefault="00094852" w:rsidP="00094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Закону, на думку ініціаторів, спрямований на імплементацію положень Директиви Європейського Парламенту та Ради 2009/28/ЄС від 23 квітня 2009 року про заохочення до використання енергії, виробленої з відновлюваних джерел в частині забезпечення Україною виконання міжнародних зобов'язань щодо частки енергії з відновлюваних джерел у валовому кінцевому обсязі споживання енергії на транспорті у 2020 році не менш 10 % та виконання зобов’язань, які взяла на себе Україна із вступом до Енергетичного Співтовариства.</w:t>
      </w:r>
    </w:p>
    <w:p w:rsidR="00094852" w:rsidRPr="00094852" w:rsidRDefault="00094852" w:rsidP="00094852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</w:t>
      </w: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094852" w:rsidRPr="00094852" w:rsidRDefault="00094852" w:rsidP="0009485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4852">
        <w:rPr>
          <w:rFonts w:ascii="Times New Roman" w:eastAsia="Times New Roman" w:hAnsi="Times New Roman" w:cs="Times New Roman"/>
          <w:sz w:val="28"/>
          <w:szCs w:val="28"/>
        </w:rPr>
        <w:t>Угода про асоціацію між У</w:t>
      </w:r>
      <w:bookmarkStart w:id="0" w:name="_GoBack"/>
      <w:bookmarkEnd w:id="0"/>
      <w:r w:rsidRPr="00094852">
        <w:rPr>
          <w:rFonts w:ascii="Times New Roman" w:eastAsia="Times New Roman" w:hAnsi="Times New Roman" w:cs="Times New Roman"/>
          <w:sz w:val="28"/>
          <w:szCs w:val="28"/>
        </w:rPr>
        <w:t xml:space="preserve">країною та ЄС передбачає зобов’язання щодо імплементації актів законодавства Європейського Союзу (Главою 1 </w:t>
      </w:r>
      <w:r w:rsidRPr="00094852">
        <w:rPr>
          <w:rFonts w:ascii="Times New Roman" w:eastAsia="Times New Roman" w:hAnsi="Times New Roman" w:cs="Times New Roman"/>
          <w:sz w:val="28"/>
          <w:szCs w:val="28"/>
        </w:rPr>
        <w:lastRenderedPageBreak/>
        <w:t>«Співробітництво у сфері енергетики, включаючи ядерну енергетику» Розділу V «Економічне та галузеве співробітництво», Додаток XXVII до Угоди про асоціацію), які сприятимуть поглибленню співробітництва у сфері енергетики з метою підвищення енергетичної безпеки, конкурентоспроможності та стабільності, що є необхідним для просування економічного зростання та досягнення прогресу у напрямку ринкової інтеграції, в тому числі шляхом поступового зближення в енергетичному секторі.</w:t>
      </w:r>
    </w:p>
    <w:p w:rsidR="00094852" w:rsidRPr="00094852" w:rsidRDefault="00094852" w:rsidP="00094852">
      <w:pPr>
        <w:pStyle w:val="aa"/>
        <w:numPr>
          <w:ilvl w:val="0"/>
          <w:numId w:val="3"/>
        </w:num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0948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094852" w:rsidRPr="00094852" w:rsidRDefault="00094852" w:rsidP="00094852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 проекті Закону передбачено застосування термінів, переважна більшість яких покликана оновити нормативно-правову базу для розвитку сфери виробництва, обігу та використання рідкого біопалива. Варто зазначити, що ці терміни не завжди відповідають визначенням, передбаченим у європейських законодавчих актах.  Зокрема, пунктом «е» статті 2 Директиви 2009/28/ЄС «біомаса» означає частину продуктів, що підлягають біологічному розкладенню, відходи та залишки біологічного походження, що отримуються з сільського господарства (враховуючи речовини рослинного та тваринного походження), лісового господарства та суміжних галузей, враховуючи рибальство та аквакультуру,   а також частину промислових та міських відходів, що підлягає біологічному розкладенню. Натомість, у проекті Закону відсутні зміни, які б привели у відповідність понятійний апарат.</w:t>
      </w:r>
    </w:p>
    <w:p w:rsidR="00094852" w:rsidRPr="00094852" w:rsidRDefault="00094852" w:rsidP="000948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Аналогічна ситуація стосується визначення терміну "біопаливо". 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Пунктом «і» статті 2 Директиви 2009/28/ЄС «біопаливо» означає вироблене з біомаси рідке або газоподібне паливо, що використовується для транспорту.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Пунктом «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val="de-DE" w:eastAsia="ar-SA"/>
        </w:rPr>
        <w:t>h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 статті 2 Директиви 2009/28/ЄС визначено термін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біопаливна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рідина», що означає рідке паливо, що виробляється з біомаси та призначається для енергетичного використання, іншого аніж транспорт, враховуючи виробництво електроенергії, опалення або охолодження. Однак, зазначений термін відсутній у проекті Закону, що </w:t>
      </w:r>
      <w:r w:rsidRPr="00094852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не повною мірою відповідає </w:t>
      </w: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Директиві 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2009/28/ЄС.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Статтею 1 законопроекту пропонується низка нових термінів: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біодизельне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паливо (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біодизель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)»;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-ДME»;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-ETБE»;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біометанол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»;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-МТБЕ»; «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біо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-ЕТАЕ». Зазначені терміни не повною мірою відповідають термінам зазначеним у Директиві 2009/28/ЄС та мають бути доопрацьовані та враховані у законопроекті.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Статтею 1 законопроекту пропонується визначення терміну «паливо моторне» – паливо, отримане з нафтової сировини або в результаті змішування палива, одержаного з нафтової сировини, з біокомпонентами, за умови, що загальний масовий вміст кисню у бензинах не перевищує 3,7 відсотків, а об’ємний вміст 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моноалкільних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proofErr w:type="spellStart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естерів</w:t>
      </w:r>
      <w:proofErr w:type="spellEnd"/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жирних кислот у дизельному паливі не перевищує 7 відсотків.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Дане визначення, таким чином, охоплює одночасно звичайне моторне паливо (отримане з нафтової сировини) та паливо моторне альтернативне (або ж «паливо моторне сумішеве» (у частині змішаного палива). 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Враховуючи зазначене, зі змісту відповідної пропозиції 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проекту складається враження, що може здійснюватися повне заміщення палива </w:t>
      </w: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>моторного звичайного (отриманого з нафтової сировини) паливом моторним альтернативним (сумішевим).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Варто також зазначити, що Директивою 2009/28/ЄС передбачено, що «кожна держава-член робить все можливе для того, щоб частка енергії, видобутої з відновлюваних джерел у всіх видах транспорту станом на 2020 рік дорівнювала, щонайменше, 10% її кінцевого споживання енергії в транспортному секторі». У цілях цієї частини застосовуються наступні положення: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(a) лише бензин, дизельне паливо та біопаливо, що споживаються автомобільним та залізничним транспортом, а також електроенергія враховуються для обчислення знаменника, тобто загальної кількості енергії, спожитої в транспортному секторі в цілях першого абзацу;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(b) всі типи виробленої з відновлюваних джерел енергії, що споживаються всіма видами транспорту враховуються для обчислення чисельника, тобто кількості видобутої з відновлюваних джерел енергії, спожитої в транспортному секторі в цілях першого абзацу» (ч. 4 ст. 3). 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 змістом зазначених приписів йдеться про частку енергії, видобутої з відновлювальних джерел, у загальному обсязі палива, спожитого автомобільним транспортом, представленого бензинами, дизельним паливом та біопаливом. При цьому, Директива 2009/28/ЄС не встановлює жодних обмежень щодо використання на ринку видів палива, отриманого виключно з нафтової сировини.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Звертаємо увагу, що в Додатку III Директиви 2009/28/ЄС визначається структура транспортного палива, представлена окремо бензином, дизельним пальним та різновидами біопалива. В даному законопроекті дані терміни структури транспортного палива відсутні, що не повною мірою відповідає Директиві 2009/28/ЄС.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Також, законопроектом пропонується </w:t>
      </w: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доповнити статтю 1 двома частинами такого змісту: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«Для цілей цього Закону під </w:t>
      </w:r>
      <w:r w:rsidRPr="00094852">
        <w:rPr>
          <w:rFonts w:ascii="Times New Roman" w:eastAsia="SimSun" w:hAnsi="Times New Roman" w:cs="Times New Roman"/>
          <w:bCs/>
          <w:kern w:val="1"/>
          <w:sz w:val="28"/>
          <w:szCs w:val="28"/>
          <w:lang w:eastAsia="ar-SA"/>
        </w:rPr>
        <w:t xml:space="preserve">нормативно визначеною обов’язковою часткою вмісту рідкого біопалива (біокомпонентів) в обсягах бензинів автомобільних розуміється </w:t>
      </w: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вміст рідкого біопалива (біокомпонентів) в усіх обсягах бензинів автомобільних, що відпускаються з місць виробництва пального, місць оптової торгівлі пальним та місць роздрібної торгівлі пальним, за виключенням бензинів</w:t>
      </w:r>
      <w:r w:rsidR="003D7394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</w:t>
      </w: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з октановим числом 98 і вище та бензинів, що поставляються для потреб Міністерства оборони, Державного резерву та для створення мінімальних запасів нафти та нафтопродуктів: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з 1 липня 2021 року – не менш як 5 відсотків (об’ємних), за відносної похибки визначення ±0,5%;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з 1 липня 2022 року – не менш як 6 відсотків (об’ємних), за відносної похибки визначення ±0,5%;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з 1 липня 2023 року – не менш як 7 відсотків (об’ємних),за відносної похибки визначення ±0,5%;».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Обрахунок вказаного показника здійснюється по відношенню лише до бензинів автомобільних, що відпускаються з місць виробництва пального, місць оптової торгівлі пальним та місць роздрібної торгівлі пальним, що не повною мірою відповідає Директиві 2009/28/ЄС.</w:t>
      </w:r>
    </w:p>
    <w:p w:rsidR="00094852" w:rsidRPr="00094852" w:rsidRDefault="00094852" w:rsidP="00094852">
      <w:pPr>
        <w:suppressAutoHyphens/>
        <w:spacing w:after="0" w:line="100" w:lineRule="atLeast"/>
        <w:ind w:firstLine="675"/>
        <w:jc w:val="both"/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</w:pPr>
      <w:r w:rsidRPr="00094852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lastRenderedPageBreak/>
        <w:t xml:space="preserve">Натомість, Директивою 2009/28/ЄС визначається структура транспортного палива, представлена окремо бензином, дизельним пальним та різновидами біопалива. </w:t>
      </w:r>
    </w:p>
    <w:p w:rsidR="00094852" w:rsidRPr="00094852" w:rsidRDefault="00094852" w:rsidP="0009485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4852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за своєю метою </w:t>
      </w:r>
      <w:r w:rsidRPr="00094852">
        <w:rPr>
          <w:rFonts w:ascii="Times New Roman" w:eastAsia="Times New Roman" w:hAnsi="Times New Roman" w:cs="Times New Roman"/>
          <w:b/>
          <w:sz w:val="28"/>
          <w:szCs w:val="28"/>
        </w:rPr>
        <w:t>не суперечить</w:t>
      </w:r>
      <w:r w:rsidRPr="00094852">
        <w:rPr>
          <w:rFonts w:ascii="Times New Roman" w:eastAsia="Times New Roman" w:hAnsi="Times New Roman" w:cs="Times New Roman"/>
          <w:sz w:val="28"/>
          <w:szCs w:val="28"/>
        </w:rPr>
        <w:t xml:space="preserve"> міжнародно-правовим зобов’язанням України, водночас, </w:t>
      </w:r>
      <w:r w:rsidRPr="00094852">
        <w:rPr>
          <w:rFonts w:ascii="Times New Roman" w:eastAsia="Times New Roman" w:hAnsi="Times New Roman" w:cs="Times New Roman"/>
          <w:b/>
          <w:sz w:val="28"/>
          <w:szCs w:val="28"/>
        </w:rPr>
        <w:t>потребує доопрацювання</w:t>
      </w:r>
      <w:r w:rsidRPr="00094852">
        <w:rPr>
          <w:rFonts w:ascii="Times New Roman" w:eastAsia="Times New Roman" w:hAnsi="Times New Roman" w:cs="Times New Roman"/>
          <w:sz w:val="28"/>
          <w:szCs w:val="28"/>
        </w:rPr>
        <w:t xml:space="preserve"> з врахуванням  положень Директиви 2009/28/ЄС.</w:t>
      </w:r>
    </w:p>
    <w:p w:rsidR="00094852" w:rsidRPr="00094852" w:rsidRDefault="00094852" w:rsidP="0009485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94852" w:rsidRPr="00094852" w:rsidRDefault="00094852" w:rsidP="0009485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7CEE" w:rsidRPr="00094852" w:rsidRDefault="000D7CEE" w:rsidP="00094852"/>
    <w:sectPr w:rsidR="000D7CEE" w:rsidRPr="00094852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5E7" w:rsidRDefault="00F225E7" w:rsidP="000D7CEE">
      <w:pPr>
        <w:spacing w:after="0" w:line="240" w:lineRule="auto"/>
      </w:pPr>
      <w:r>
        <w:separator/>
      </w:r>
    </w:p>
  </w:endnote>
  <w:endnote w:type="continuationSeparator" w:id="0">
    <w:p w:rsidR="00F225E7" w:rsidRDefault="00F225E7" w:rsidP="000D7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MS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CEE" w:rsidRDefault="000D7C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5E7" w:rsidRDefault="00F225E7" w:rsidP="000D7CEE">
      <w:pPr>
        <w:spacing w:after="0" w:line="240" w:lineRule="auto"/>
      </w:pPr>
      <w:r>
        <w:separator/>
      </w:r>
    </w:p>
  </w:footnote>
  <w:footnote w:type="continuationSeparator" w:id="0">
    <w:p w:rsidR="00F225E7" w:rsidRDefault="00F225E7" w:rsidP="000D7CEE">
      <w:pPr>
        <w:spacing w:after="0" w:line="240" w:lineRule="auto"/>
      </w:pPr>
      <w:r>
        <w:continuationSeparator/>
      </w:r>
    </w:p>
  </w:footnote>
  <w:footnote w:id="1">
    <w:p w:rsidR="00053C62" w:rsidRPr="00053C62" w:rsidRDefault="00053C62" w:rsidP="00053C62">
      <w:pPr>
        <w:pStyle w:val="a7"/>
        <w:jc w:val="both"/>
        <w:rPr>
          <w:sz w:val="24"/>
          <w:szCs w:val="24"/>
        </w:rPr>
      </w:pPr>
      <w:r>
        <w:rPr>
          <w:rStyle w:val="a9"/>
        </w:rPr>
        <w:footnoteRef/>
      </w:r>
      <w:r>
        <w:t xml:space="preserve"> </w:t>
      </w:r>
      <w:r w:rsidRPr="00053C62">
        <w:rPr>
          <w:sz w:val="24"/>
          <w:szCs w:val="24"/>
        </w:rPr>
        <w:t>К</w:t>
      </w:r>
      <w:r w:rsidRPr="00053C62">
        <w:rPr>
          <w:rFonts w:eastAsia="MS Mincho"/>
          <w:sz w:val="24"/>
          <w:szCs w:val="24"/>
        </w:rPr>
        <w:t xml:space="preserve">омітет розглянув проект Закону на своєму засіданні </w:t>
      </w:r>
      <w:r w:rsidRPr="00053C62">
        <w:rPr>
          <w:rFonts w:eastAsia="MS Mincho"/>
          <w:sz w:val="24"/>
          <w:szCs w:val="24"/>
        </w:rPr>
        <w:t>03 червня</w:t>
      </w:r>
      <w:r w:rsidRPr="00053C62">
        <w:rPr>
          <w:rFonts w:eastAsia="MS Mincho"/>
          <w:sz w:val="24"/>
          <w:szCs w:val="24"/>
        </w:rPr>
        <w:t xml:space="preserve"> 2020 року (протокол № 3</w:t>
      </w:r>
      <w:r w:rsidRPr="00053C62">
        <w:rPr>
          <w:rFonts w:eastAsia="MS Mincho"/>
          <w:sz w:val="24"/>
          <w:szCs w:val="24"/>
        </w:rPr>
        <w:t>6</w:t>
      </w:r>
      <w:r w:rsidRPr="00053C62">
        <w:rPr>
          <w:rFonts w:eastAsia="MS Mincho"/>
          <w:sz w:val="24"/>
          <w:szCs w:val="24"/>
        </w:rPr>
        <w:t>) в</w:t>
      </w:r>
      <w:r w:rsidRPr="00053C62">
        <w:rPr>
          <w:sz w:val="24"/>
          <w:szCs w:val="24"/>
        </w:rPr>
        <w:t>ідповідно до статті 93 Регламенту Верховної Ради України</w:t>
      </w:r>
      <w:r w:rsidRPr="00053C62">
        <w:rPr>
          <w:rFonts w:eastAsia="MS Mincho"/>
          <w:sz w:val="24"/>
          <w:szCs w:val="24"/>
        </w:rPr>
        <w:t>.</w:t>
      </w:r>
    </w:p>
    <w:p w:rsidR="00053C62" w:rsidRDefault="00053C62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1E11F6"/>
    <w:multiLevelType w:val="hybridMultilevel"/>
    <w:tmpl w:val="A1CA2FE6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941614E"/>
    <w:multiLevelType w:val="hybridMultilevel"/>
    <w:tmpl w:val="8F3422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1E"/>
    <w:rsid w:val="00053C62"/>
    <w:rsid w:val="00065364"/>
    <w:rsid w:val="00094852"/>
    <w:rsid w:val="000A265B"/>
    <w:rsid w:val="000D7CEE"/>
    <w:rsid w:val="00156303"/>
    <w:rsid w:val="002145C4"/>
    <w:rsid w:val="003D7394"/>
    <w:rsid w:val="004700A3"/>
    <w:rsid w:val="005F7EA7"/>
    <w:rsid w:val="0065334F"/>
    <w:rsid w:val="008469FE"/>
    <w:rsid w:val="00B717E1"/>
    <w:rsid w:val="00B87F8F"/>
    <w:rsid w:val="00C5581A"/>
    <w:rsid w:val="00D9201E"/>
    <w:rsid w:val="00E951FF"/>
    <w:rsid w:val="00F2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F3FE"/>
  <w15:chartTrackingRefBased/>
  <w15:docId w15:val="{8877969A-85EB-4C58-98C3-C702939A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7C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D7CEE"/>
  </w:style>
  <w:style w:type="paragraph" w:styleId="a5">
    <w:name w:val="footer"/>
    <w:basedOn w:val="a"/>
    <w:link w:val="a6"/>
    <w:uiPriority w:val="99"/>
    <w:unhideWhenUsed/>
    <w:rsid w:val="000D7C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D7CEE"/>
  </w:style>
  <w:style w:type="paragraph" w:styleId="a7">
    <w:name w:val="footnote text"/>
    <w:basedOn w:val="a"/>
    <w:link w:val="a8"/>
    <w:rsid w:val="00094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виноски Знак"/>
    <w:basedOn w:val="a0"/>
    <w:link w:val="a7"/>
    <w:rsid w:val="000948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rsid w:val="00094852"/>
    <w:rPr>
      <w:vertAlign w:val="superscript"/>
    </w:rPr>
  </w:style>
  <w:style w:type="paragraph" w:styleId="aa">
    <w:name w:val="List Paragraph"/>
    <w:basedOn w:val="a"/>
    <w:uiPriority w:val="34"/>
    <w:qFormat/>
    <w:rsid w:val="00094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52E67-5009-4C69-81D7-F26AD0D3F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5273</Words>
  <Characters>3006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7</cp:revision>
  <dcterms:created xsi:type="dcterms:W3CDTF">2020-06-01T14:51:00Z</dcterms:created>
  <dcterms:modified xsi:type="dcterms:W3CDTF">2020-06-12T12:18:00Z</dcterms:modified>
</cp:coreProperties>
</file>