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B2A" w:rsidRPr="00F37E5B" w:rsidRDefault="00912B2A" w:rsidP="00912B2A">
      <w:pPr>
        <w:jc w:val="center"/>
        <w:rPr>
          <w:rFonts w:ascii="Times New Roman" w:hAnsi="Times New Roman" w:cs="Times New Roman"/>
          <w:b/>
          <w:bCs/>
          <w:color w:val="000000"/>
          <w:sz w:val="28"/>
          <w:szCs w:val="28"/>
        </w:rPr>
      </w:pPr>
    </w:p>
    <w:p w:rsidR="00912B2A" w:rsidRPr="00F37E5B" w:rsidRDefault="00912B2A" w:rsidP="00912B2A">
      <w:pPr>
        <w:jc w:val="center"/>
        <w:rPr>
          <w:rFonts w:ascii="Times New Roman" w:hAnsi="Times New Roman" w:cs="Times New Roman"/>
          <w:b/>
          <w:bCs/>
          <w:color w:val="000000"/>
          <w:sz w:val="28"/>
          <w:szCs w:val="28"/>
        </w:rPr>
      </w:pPr>
    </w:p>
    <w:p w:rsidR="00912B2A" w:rsidRPr="00F37E5B" w:rsidRDefault="00912B2A" w:rsidP="00912B2A">
      <w:pPr>
        <w:jc w:val="center"/>
        <w:rPr>
          <w:rFonts w:ascii="Times New Roman" w:hAnsi="Times New Roman" w:cs="Times New Roman"/>
          <w:b/>
          <w:bCs/>
          <w:color w:val="000000"/>
          <w:sz w:val="28"/>
          <w:szCs w:val="28"/>
        </w:rPr>
      </w:pPr>
    </w:p>
    <w:p w:rsidR="00912B2A" w:rsidRPr="00F37E5B" w:rsidRDefault="00912B2A" w:rsidP="00912B2A">
      <w:pPr>
        <w:jc w:val="center"/>
        <w:rPr>
          <w:rFonts w:ascii="Times New Roman" w:hAnsi="Times New Roman" w:cs="Times New Roman"/>
          <w:b/>
          <w:bCs/>
          <w:color w:val="000000"/>
          <w:sz w:val="28"/>
          <w:szCs w:val="28"/>
        </w:rPr>
      </w:pPr>
    </w:p>
    <w:p w:rsidR="00912B2A" w:rsidRPr="00F37E5B" w:rsidRDefault="00912B2A" w:rsidP="00912B2A">
      <w:pPr>
        <w:jc w:val="center"/>
        <w:rPr>
          <w:rFonts w:ascii="Times New Roman" w:hAnsi="Times New Roman" w:cs="Times New Roman"/>
          <w:b/>
          <w:bCs/>
          <w:color w:val="000000"/>
          <w:sz w:val="28"/>
          <w:szCs w:val="28"/>
        </w:rPr>
      </w:pPr>
    </w:p>
    <w:p w:rsidR="00912B2A" w:rsidRPr="00F37E5B" w:rsidRDefault="00912B2A" w:rsidP="00912B2A">
      <w:pPr>
        <w:jc w:val="center"/>
        <w:rPr>
          <w:rFonts w:ascii="Times New Roman" w:hAnsi="Times New Roman" w:cs="Times New Roman"/>
          <w:b/>
          <w:bCs/>
          <w:color w:val="000000"/>
          <w:sz w:val="28"/>
          <w:szCs w:val="28"/>
        </w:rPr>
      </w:pPr>
    </w:p>
    <w:p w:rsidR="00912B2A" w:rsidRPr="00F37E5B" w:rsidRDefault="00912B2A" w:rsidP="00912B2A">
      <w:pPr>
        <w:jc w:val="center"/>
        <w:rPr>
          <w:rFonts w:ascii="Times New Roman" w:hAnsi="Times New Roman" w:cs="Times New Roman"/>
          <w:b/>
          <w:bCs/>
          <w:color w:val="000000"/>
          <w:sz w:val="28"/>
          <w:szCs w:val="28"/>
        </w:rPr>
      </w:pPr>
      <w:bookmarkStart w:id="0" w:name="_GoBack"/>
      <w:bookmarkEnd w:id="0"/>
    </w:p>
    <w:p w:rsidR="00912B2A" w:rsidRPr="00CF779A" w:rsidRDefault="00912B2A" w:rsidP="00912B2A">
      <w:pPr>
        <w:rPr>
          <w:rFonts w:ascii="Times New Roman" w:hAnsi="Times New Roman" w:cs="Times New Roman"/>
          <w:b/>
          <w:bCs/>
          <w:color w:val="000000"/>
          <w:sz w:val="28"/>
          <w:szCs w:val="28"/>
          <w:lang w:val="en-US"/>
        </w:rPr>
      </w:pPr>
    </w:p>
    <w:p w:rsidR="00912B2A" w:rsidRPr="00F37E5B" w:rsidRDefault="00912B2A" w:rsidP="00912B2A">
      <w:pPr>
        <w:jc w:val="center"/>
        <w:rPr>
          <w:rFonts w:hint="eastAsia"/>
        </w:rPr>
      </w:pPr>
      <w:r w:rsidRPr="00F37E5B">
        <w:rPr>
          <w:rFonts w:ascii="Times New Roman" w:hAnsi="Times New Roman" w:cs="Times New Roman"/>
          <w:b/>
          <w:bCs/>
          <w:color w:val="000000"/>
          <w:sz w:val="28"/>
          <w:szCs w:val="28"/>
        </w:rPr>
        <w:t>ВИСНОВОК</w:t>
      </w:r>
    </w:p>
    <w:p w:rsidR="00912B2A" w:rsidRPr="00F37E5B" w:rsidRDefault="00912B2A" w:rsidP="00912B2A">
      <w:pPr>
        <w:jc w:val="center"/>
        <w:rPr>
          <w:rFonts w:hint="eastAsia"/>
        </w:rPr>
      </w:pPr>
      <w:r w:rsidRPr="00F37E5B">
        <w:rPr>
          <w:rFonts w:ascii="Times New Roman" w:hAnsi="Times New Roman" w:cs="Times New Roman"/>
          <w:b/>
          <w:bCs/>
          <w:color w:val="000000"/>
          <w:sz w:val="28"/>
          <w:szCs w:val="28"/>
        </w:rPr>
        <w:t xml:space="preserve">на проект Закону України </w:t>
      </w:r>
      <w:r w:rsidRPr="00F37E5B">
        <w:rPr>
          <w:rFonts w:ascii="Times New Roman" w:eastAsia="Times New Roman" w:hAnsi="Times New Roman" w:cs="Times New Roman"/>
          <w:b/>
          <w:bCs/>
          <w:color w:val="000000"/>
          <w:sz w:val="28"/>
          <w:szCs w:val="28"/>
          <w:lang w:eastAsia="ar-SA"/>
        </w:rPr>
        <w:t>«Про внесення змін до розділу XVII «Прикінцеві та перехідні положення» Закону України «Про ринок електричної енергії» щодо подолання кризового стану розрахунків внаслідок коронавірусної хвороби (COVID-2019)»</w:t>
      </w:r>
      <w:bookmarkStart w:id="1" w:name="_Hlk35531672"/>
      <w:bookmarkEnd w:id="1"/>
    </w:p>
    <w:p w:rsidR="00912B2A" w:rsidRPr="00F37E5B" w:rsidRDefault="00912B2A" w:rsidP="00912B2A">
      <w:pPr>
        <w:ind w:firstLine="900"/>
        <w:jc w:val="both"/>
        <w:rPr>
          <w:rFonts w:ascii="Times New Roman" w:hAnsi="Times New Roman" w:cs="Times New Roman"/>
          <w:color w:val="000000"/>
          <w:sz w:val="28"/>
          <w:szCs w:val="28"/>
        </w:rPr>
      </w:pPr>
    </w:p>
    <w:p w:rsidR="00912B2A" w:rsidRPr="00F37E5B" w:rsidRDefault="00912B2A" w:rsidP="00912B2A">
      <w:pPr>
        <w:ind w:firstLine="720"/>
        <w:jc w:val="both"/>
        <w:rPr>
          <w:rFonts w:hint="eastAsia"/>
        </w:rPr>
      </w:pPr>
      <w:r w:rsidRPr="00F37E5B">
        <w:rPr>
          <w:rFonts w:ascii="Times New Roman" w:hAnsi="Times New Roman" w:cs="Times New Roman"/>
          <w:color w:val="000000"/>
          <w:sz w:val="28"/>
          <w:szCs w:val="28"/>
        </w:rPr>
        <w:t xml:space="preserve">У законопроекті пропонується доповнити розділ ХVІІ «Прикінцеві та перехідні положення» Закону </w:t>
      </w:r>
      <w:r w:rsidRPr="00F37E5B">
        <w:rPr>
          <w:rFonts w:ascii="Times New Roman" w:hAnsi="Times New Roman" w:cs="Times New Roman"/>
          <w:color w:val="000000"/>
          <w:sz w:val="28"/>
          <w:szCs w:val="28"/>
          <w:highlight w:val="white"/>
        </w:rPr>
        <w:t xml:space="preserve">України «Про ринок електричної енергії» </w:t>
      </w:r>
      <w:r w:rsidRPr="00F37E5B">
        <w:rPr>
          <w:rFonts w:ascii="Times New Roman" w:hAnsi="Times New Roman" w:cs="Times New Roman"/>
          <w:color w:val="000000"/>
          <w:sz w:val="28"/>
          <w:szCs w:val="28"/>
          <w:highlight w:val="white"/>
        </w:rPr>
        <w:br/>
        <w:t>(далі – Закон) новим п. 25, згідно з яким от</w:t>
      </w:r>
      <w:r w:rsidRPr="00F37E5B">
        <w:rPr>
          <w:rFonts w:ascii="Times New Roman" w:eastAsia="Times New Roman" w:hAnsi="Times New Roman" w:cs="Times New Roman"/>
          <w:color w:val="000000"/>
          <w:sz w:val="28"/>
          <w:szCs w:val="28"/>
          <w:highlight w:val="white"/>
        </w:rPr>
        <w:t xml:space="preserve">римані станом на </w:t>
      </w:r>
      <w:r w:rsidRPr="00556241">
        <w:rPr>
          <w:rFonts w:ascii="Times New Roman" w:eastAsia="Times New Roman" w:hAnsi="Times New Roman" w:cs="Times New Roman"/>
          <w:color w:val="000000"/>
          <w:sz w:val="28"/>
          <w:szCs w:val="28"/>
          <w:highlight w:val="white"/>
          <w:lang w:val="ru-RU"/>
        </w:rPr>
        <w:br/>
      </w:r>
      <w:r w:rsidRPr="00CF779A">
        <w:rPr>
          <w:rFonts w:ascii="Times New Roman" w:eastAsia="Times New Roman" w:hAnsi="Times New Roman" w:cs="Times New Roman"/>
          <w:color w:val="000000"/>
          <w:sz w:val="28"/>
          <w:szCs w:val="28"/>
        </w:rPr>
        <w:t xml:space="preserve">1 травня 2020 року оператором системи передачі доходи від розподілу пропускної спроможності міждержавного перетину можуть спрямовуватися оператором </w:t>
      </w:r>
      <w:r w:rsidRPr="00F37E5B">
        <w:rPr>
          <w:rFonts w:ascii="Times New Roman" w:eastAsia="Times New Roman" w:hAnsi="Times New Roman" w:cs="Times New Roman"/>
          <w:color w:val="000000"/>
          <w:sz w:val="28"/>
          <w:szCs w:val="28"/>
          <w:highlight w:val="white"/>
        </w:rPr>
        <w:t xml:space="preserve">системи передачі в межах покладених на нього спеціальних обов’язків для забезпечення загальносуспільного інтересу із збільшення частки виробництва енергії з альтернативних джерел виключно гарантованому покупцю для наступного погашення боргів за виконання спеціальних обов’язків із купівлі електричної енергії за «зеленим» тарифом, що виникли станом на 1 травня 2020 року. </w:t>
      </w:r>
    </w:p>
    <w:p w:rsidR="00912B2A" w:rsidRPr="00F37E5B" w:rsidRDefault="00912B2A" w:rsidP="00912B2A">
      <w:pPr>
        <w:ind w:firstLine="737"/>
        <w:jc w:val="both"/>
        <w:rPr>
          <w:rFonts w:hint="eastAsia"/>
        </w:rPr>
      </w:pPr>
      <w:r w:rsidRPr="00F37E5B">
        <w:rPr>
          <w:rFonts w:ascii="Times New Roman" w:eastAsia="Times New Roman" w:hAnsi="Times New Roman" w:cs="Times New Roman"/>
          <w:color w:val="000000"/>
          <w:sz w:val="28"/>
          <w:szCs w:val="28"/>
          <w:highlight w:val="white"/>
        </w:rPr>
        <w:t xml:space="preserve">Метою прийняття законопроекту, як зазначено у пояснювальній записці до нього, є забезпечення повноцінного застосування заходів </w:t>
      </w:r>
      <w:r w:rsidRPr="00F37E5B">
        <w:rPr>
          <w:rFonts w:ascii="Times New Roman" w:eastAsia="Times New Roman" w:hAnsi="Times New Roman" w:cs="Times New Roman"/>
          <w:bCs/>
          <w:color w:val="000000"/>
          <w:sz w:val="28"/>
          <w:szCs w:val="28"/>
          <w:highlight w:val="white"/>
        </w:rPr>
        <w:t>подолання кризового стану підприємств енергетичної галузі внаслідок корон</w:t>
      </w:r>
      <w:r>
        <w:rPr>
          <w:rFonts w:ascii="Times New Roman" w:eastAsia="Times New Roman" w:hAnsi="Times New Roman" w:cs="Times New Roman"/>
          <w:bCs/>
          <w:color w:val="000000"/>
          <w:sz w:val="28"/>
          <w:szCs w:val="28"/>
          <w:highlight w:val="white"/>
        </w:rPr>
        <w:t>авірусної хвороби (COVID-2019),</w:t>
      </w:r>
      <w:r w:rsidRPr="00F37E5B">
        <w:rPr>
          <w:rFonts w:ascii="Times New Roman" w:eastAsia="Times New Roman" w:hAnsi="Times New Roman" w:cs="Times New Roman"/>
          <w:bCs/>
          <w:color w:val="000000"/>
          <w:sz w:val="28"/>
          <w:szCs w:val="28"/>
          <w:highlight w:val="white"/>
        </w:rPr>
        <w:t xml:space="preserve"> </w:t>
      </w:r>
      <w:r w:rsidRPr="00F37E5B">
        <w:rPr>
          <w:rFonts w:ascii="Times New Roman" w:eastAsia="Times New Roman" w:hAnsi="Times New Roman" w:cs="Times New Roman"/>
          <w:color w:val="000000"/>
          <w:sz w:val="28"/>
          <w:szCs w:val="28"/>
          <w:highlight w:val="white"/>
        </w:rPr>
        <w:t xml:space="preserve">забезпечення правових механізмів розрахунків </w:t>
      </w:r>
      <w:r w:rsidRPr="00F37E5B">
        <w:rPr>
          <w:rFonts w:ascii="Times New Roman" w:eastAsia="Times New Roman" w:hAnsi="Times New Roman" w:cs="Times New Roman"/>
          <w:color w:val="000000"/>
          <w:sz w:val="28"/>
          <w:szCs w:val="28"/>
          <w:highlight w:val="white"/>
        </w:rPr>
        <w:br/>
        <w:t>НЕК «Укренерго» з Гарантованим покупцем за послуги із забезпечення збільшення частки виробництва енергії з альтернативних джерел.</w:t>
      </w:r>
    </w:p>
    <w:p w:rsidR="00912B2A" w:rsidRPr="00F37E5B" w:rsidRDefault="00912B2A" w:rsidP="00912B2A">
      <w:pPr>
        <w:ind w:firstLine="720"/>
        <w:jc w:val="both"/>
        <w:rPr>
          <w:rFonts w:hint="eastAsia"/>
        </w:rPr>
      </w:pPr>
      <w:r w:rsidRPr="00F37E5B">
        <w:rPr>
          <w:rFonts w:ascii="Times New Roman" w:eastAsia="Times New Roman" w:hAnsi="Times New Roman" w:cs="Times New Roman"/>
          <w:color w:val="000000"/>
          <w:sz w:val="28"/>
          <w:szCs w:val="28"/>
          <w:highlight w:val="white"/>
        </w:rPr>
        <w:t xml:space="preserve">Головне управління, розглянувши законопроект у межах відведеного часу, вважає за необхідне </w:t>
      </w:r>
      <w:r w:rsidRPr="00F37E5B">
        <w:rPr>
          <w:rFonts w:ascii="Times New Roman" w:hAnsi="Times New Roman" w:cs="Times New Roman"/>
          <w:color w:val="000000"/>
          <w:sz w:val="28"/>
          <w:szCs w:val="28"/>
          <w:highlight w:val="white"/>
        </w:rPr>
        <w:t>висловити щодо нього наступні міркування.</w:t>
      </w:r>
    </w:p>
    <w:p w:rsidR="00912B2A" w:rsidRPr="00F37E5B" w:rsidRDefault="00912B2A" w:rsidP="00912B2A">
      <w:pPr>
        <w:ind w:firstLine="720"/>
        <w:jc w:val="both"/>
        <w:rPr>
          <w:rFonts w:hint="eastAsia"/>
        </w:rPr>
      </w:pPr>
      <w:r w:rsidRPr="00F37E5B">
        <w:rPr>
          <w:rFonts w:ascii="Times New Roman" w:hAnsi="Times New Roman" w:cs="Times New Roman"/>
          <w:b/>
          <w:bCs/>
          <w:color w:val="000000"/>
          <w:sz w:val="28"/>
          <w:szCs w:val="28"/>
          <w:highlight w:val="white"/>
        </w:rPr>
        <w:t>1.</w:t>
      </w:r>
      <w:r w:rsidRPr="00F37E5B">
        <w:rPr>
          <w:rFonts w:ascii="Times New Roman" w:hAnsi="Times New Roman" w:cs="Times New Roman"/>
          <w:color w:val="000000"/>
          <w:sz w:val="28"/>
          <w:szCs w:val="28"/>
          <w:highlight w:val="white"/>
        </w:rPr>
        <w:t xml:space="preserve"> Назва законопроекту виглядає редакційно невдалою, оскільки на стан розрахунків на ринку електроенергії має вплив не коронавірусна хвороба, а обмежувальні заходи, запроваджені у зв'язку з нею (про що, власне, йдеться у тексті проекту)</w:t>
      </w:r>
      <w:r w:rsidRPr="00F37E5B">
        <w:rPr>
          <w:rFonts w:ascii="Times New Roman" w:hAnsi="Times New Roman" w:cs="Times New Roman"/>
          <w:color w:val="000000"/>
          <w:sz w:val="28"/>
          <w:szCs w:val="28"/>
        </w:rPr>
        <w:t>.</w:t>
      </w:r>
    </w:p>
    <w:p w:rsidR="00912B2A" w:rsidRPr="00CF779A" w:rsidRDefault="00912B2A" w:rsidP="00912B2A">
      <w:pPr>
        <w:ind w:firstLine="720"/>
        <w:jc w:val="both"/>
        <w:rPr>
          <w:rFonts w:hint="eastAsia"/>
        </w:rPr>
      </w:pPr>
      <w:r w:rsidRPr="00F37E5B">
        <w:rPr>
          <w:rFonts w:ascii="Times New Roman" w:hAnsi="Times New Roman" w:cs="Times New Roman"/>
          <w:b/>
          <w:bCs/>
          <w:color w:val="000000"/>
          <w:sz w:val="28"/>
          <w:szCs w:val="28"/>
          <w:highlight w:val="white"/>
        </w:rPr>
        <w:t>2.</w:t>
      </w:r>
      <w:r w:rsidRPr="00F37E5B">
        <w:rPr>
          <w:rFonts w:ascii="Times New Roman" w:hAnsi="Times New Roman" w:cs="Times New Roman"/>
          <w:color w:val="000000"/>
          <w:sz w:val="28"/>
          <w:szCs w:val="28"/>
          <w:highlight w:val="white"/>
        </w:rPr>
        <w:t xml:space="preserve"> В</w:t>
      </w:r>
      <w:r w:rsidRPr="00F37E5B">
        <w:rPr>
          <w:rFonts w:ascii="Times New Roman" w:hAnsi="Times New Roman"/>
          <w:sz w:val="28"/>
          <w:szCs w:val="28"/>
        </w:rPr>
        <w:t>ідповідно до ч. 2 ст. 42 Закону до міждер</w:t>
      </w:r>
      <w:r>
        <w:rPr>
          <w:rFonts w:ascii="Times New Roman" w:hAnsi="Times New Roman"/>
          <w:sz w:val="28"/>
          <w:szCs w:val="28"/>
        </w:rPr>
        <w:t>жавних перетинів із державами -</w:t>
      </w:r>
      <w:r w:rsidRPr="00F37E5B">
        <w:rPr>
          <w:rFonts w:ascii="Times New Roman" w:hAnsi="Times New Roman"/>
          <w:sz w:val="28"/>
          <w:szCs w:val="28"/>
        </w:rPr>
        <w:t xml:space="preserve">сторонами Енергетичного Співтовариства мають застосовуватися спільний скоординований механізм управління обмеженнями та процедури розподілу </w:t>
      </w:r>
      <w:r w:rsidRPr="00CF779A">
        <w:rPr>
          <w:rFonts w:ascii="Times New Roman" w:hAnsi="Times New Roman"/>
          <w:sz w:val="28"/>
          <w:szCs w:val="28"/>
        </w:rPr>
        <w:t>пропускної спроможності. Належне виконання Україною своїх обов'язків у  рамках</w:t>
      </w:r>
      <w:r w:rsidRPr="00F37E5B">
        <w:rPr>
          <w:rFonts w:ascii="Times New Roman" w:hAnsi="Times New Roman"/>
          <w:sz w:val="28"/>
          <w:szCs w:val="28"/>
        </w:rPr>
        <w:t xml:space="preserve"> Енергетичного Співтовариства забезпечується, у тому числі, цільовим використанням доходів від розподілу пропускної спроможності міждержавного перетину на гарантування фактичної наявності </w:t>
      </w:r>
      <w:r w:rsidRPr="00F37E5B">
        <w:rPr>
          <w:rFonts w:ascii="Times New Roman" w:hAnsi="Times New Roman"/>
          <w:sz w:val="28"/>
          <w:szCs w:val="28"/>
        </w:rPr>
        <w:lastRenderedPageBreak/>
        <w:t xml:space="preserve">розподіленої пропускної </w:t>
      </w:r>
      <w:r w:rsidRPr="00CF779A">
        <w:rPr>
          <w:rFonts w:ascii="Times New Roman" w:hAnsi="Times New Roman"/>
          <w:sz w:val="28"/>
          <w:szCs w:val="28"/>
        </w:rPr>
        <w:t>спроможності та технічне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що передбачено</w:t>
      </w:r>
      <w:r w:rsidRPr="00556241">
        <w:rPr>
          <w:rFonts w:ascii="Times New Roman" w:hAnsi="Times New Roman"/>
          <w:sz w:val="28"/>
          <w:szCs w:val="28"/>
        </w:rPr>
        <w:t xml:space="preserve"> у</w:t>
      </w:r>
      <w:r w:rsidRPr="00CF779A">
        <w:rPr>
          <w:rFonts w:ascii="Times New Roman" w:hAnsi="Times New Roman"/>
          <w:sz w:val="28"/>
          <w:szCs w:val="28"/>
        </w:rPr>
        <w:t xml:space="preserve"> ч. 1 ст. 43 Закону. Спрямування цих доходів на інші цілі потребує виваженого рішення та належного обґрунтування, у першу чергу, з точки зору забезпечення Україною виконання своїх обов'язків у рамках Енергетичного Співтовариства.</w:t>
      </w:r>
    </w:p>
    <w:p w:rsidR="00912B2A" w:rsidRPr="00F37E5B" w:rsidRDefault="00912B2A" w:rsidP="00912B2A">
      <w:pPr>
        <w:ind w:firstLine="709"/>
        <w:jc w:val="both"/>
        <w:rPr>
          <w:rFonts w:ascii="Times New Roman" w:hAnsi="Times New Roman"/>
          <w:sz w:val="28"/>
          <w:szCs w:val="28"/>
        </w:rPr>
      </w:pPr>
      <w:r w:rsidRPr="00CF779A">
        <w:rPr>
          <w:rFonts w:ascii="Times New Roman" w:hAnsi="Times New Roman"/>
          <w:b/>
          <w:sz w:val="28"/>
          <w:szCs w:val="28"/>
        </w:rPr>
        <w:t>3.</w:t>
      </w:r>
      <w:r w:rsidRPr="00CF779A">
        <w:rPr>
          <w:rFonts w:ascii="Times New Roman" w:hAnsi="Times New Roman"/>
          <w:sz w:val="28"/>
          <w:szCs w:val="28"/>
        </w:rPr>
        <w:t xml:space="preserve"> Головне управління звертає увагу на те, що супровідні</w:t>
      </w:r>
      <w:r w:rsidRPr="00F37E5B">
        <w:rPr>
          <w:rFonts w:ascii="Times New Roman" w:hAnsi="Times New Roman"/>
          <w:sz w:val="28"/>
          <w:szCs w:val="28"/>
        </w:rPr>
        <w:t xml:space="preserve"> документи до законопроекту не містять належного фінансово-економічного обґрунтування.</w:t>
      </w:r>
    </w:p>
    <w:p w:rsidR="00912B2A" w:rsidRPr="00F37E5B" w:rsidRDefault="00912B2A" w:rsidP="00912B2A">
      <w:pPr>
        <w:ind w:firstLine="709"/>
        <w:jc w:val="both"/>
        <w:rPr>
          <w:rFonts w:hint="eastAsia"/>
        </w:rPr>
      </w:pPr>
      <w:r w:rsidRPr="00F37E5B">
        <w:rPr>
          <w:rFonts w:ascii="Times New Roman" w:hAnsi="Times New Roman"/>
          <w:sz w:val="28"/>
          <w:szCs w:val="28"/>
        </w:rPr>
        <w:t>Так, у п. 1 пояснювальної записки вказано, що «н</w:t>
      </w:r>
      <w:r w:rsidRPr="00F37E5B">
        <w:rPr>
          <w:rFonts w:ascii="Times New Roman" w:hAnsi="Times New Roman" w:cs="Times New Roman"/>
          <w:sz w:val="28"/>
          <w:szCs w:val="28"/>
        </w:rPr>
        <w:t xml:space="preserve">а початок </w:t>
      </w:r>
      <w:r w:rsidRPr="00F37E5B">
        <w:rPr>
          <w:rFonts w:ascii="Times New Roman" w:hAnsi="Times New Roman" w:cs="Times New Roman"/>
          <w:sz w:val="28"/>
          <w:szCs w:val="28"/>
        </w:rPr>
        <w:br/>
        <w:t xml:space="preserve">квітня 2020 року несплачені фінансові зобов’язання НЕК «Укренерго» перед Гарантованим покупцем досягли </w:t>
      </w:r>
      <w:r w:rsidRPr="00F37E5B">
        <w:rPr>
          <w:rFonts w:ascii="Times New Roman" w:hAnsi="Times New Roman" w:cs="Times New Roman"/>
          <w:i/>
          <w:iCs/>
          <w:sz w:val="28"/>
          <w:szCs w:val="28"/>
          <w:u w:val="single"/>
        </w:rPr>
        <w:t>5,7 млрд грн</w:t>
      </w:r>
      <w:r w:rsidRPr="00F37E5B">
        <w:rPr>
          <w:rFonts w:ascii="Times New Roman" w:hAnsi="Times New Roman" w:cs="Times New Roman"/>
          <w:sz w:val="28"/>
          <w:szCs w:val="28"/>
        </w:rPr>
        <w:t>.».</w:t>
      </w:r>
    </w:p>
    <w:p w:rsidR="00912B2A" w:rsidRPr="00CF779A" w:rsidRDefault="00912B2A" w:rsidP="00912B2A">
      <w:pPr>
        <w:ind w:firstLine="709"/>
        <w:jc w:val="both"/>
        <w:rPr>
          <w:rFonts w:ascii="Times New Roman" w:hAnsi="Times New Roman" w:cs="Times New Roman"/>
          <w:sz w:val="28"/>
          <w:szCs w:val="28"/>
        </w:rPr>
      </w:pPr>
      <w:r w:rsidRPr="00F37E5B">
        <w:rPr>
          <w:rFonts w:ascii="Times New Roman" w:hAnsi="Times New Roman" w:cs="Times New Roman"/>
          <w:sz w:val="28"/>
          <w:szCs w:val="28"/>
        </w:rPr>
        <w:t>У той же час, на офіційному сайті ДП «Гарантований покупець» (</w:t>
      </w:r>
      <w:hyperlink r:id="rId6" w:history="1">
        <w:r w:rsidRPr="00556241">
          <w:rPr>
            <w:rStyle w:val="a3"/>
            <w:rFonts w:ascii="Times New Roman" w:hAnsi="Times New Roman" w:cs="Times New Roman"/>
            <w:color w:val="000000" w:themeColor="text1"/>
            <w:sz w:val="28"/>
            <w:szCs w:val="28"/>
            <w:u w:val="none"/>
          </w:rPr>
          <w:t>https://www.gpee.com.ua/main/news?id=325</w:t>
        </w:r>
      </w:hyperlink>
      <w:r w:rsidRPr="00F37E5B">
        <w:t>)</w:t>
      </w:r>
      <w:r>
        <w:rPr>
          <w:rFonts w:ascii="Times New Roman" w:hAnsi="Times New Roman" w:cs="Times New Roman"/>
          <w:sz w:val="28"/>
          <w:szCs w:val="28"/>
        </w:rPr>
        <w:t xml:space="preserve"> </w:t>
      </w:r>
      <w:r w:rsidRPr="00F37E5B">
        <w:rPr>
          <w:rFonts w:ascii="Times New Roman" w:hAnsi="Times New Roman" w:cs="Times New Roman"/>
          <w:sz w:val="28"/>
          <w:szCs w:val="28"/>
        </w:rPr>
        <w:t xml:space="preserve">розміщена актуальна інформація </w:t>
      </w:r>
      <w:r w:rsidRPr="00F37E5B">
        <w:rPr>
          <w:rFonts w:ascii="Times New Roman" w:hAnsi="Times New Roman" w:cs="Times New Roman"/>
          <w:color w:val="000000"/>
          <w:sz w:val="28"/>
          <w:szCs w:val="28"/>
        </w:rPr>
        <w:t>щодо фінансових заборгованостей НЕК «Укренерго» перед Гарантованим покупцем</w:t>
      </w:r>
      <w:r w:rsidRPr="00F37E5B">
        <w:rPr>
          <w:rFonts w:ascii="Times New Roman" w:hAnsi="Times New Roman"/>
          <w:sz w:val="28"/>
          <w:szCs w:val="28"/>
        </w:rPr>
        <w:t xml:space="preserve">, згідно з якою борг ПрАТ «НЕК «Укренерго» перед державним підприємством «Гарантований покупець» на 30 квітня 2020 року становить 10,9 млрд. грн. , з яких </w:t>
      </w:r>
      <w:r w:rsidRPr="00F37E5B">
        <w:rPr>
          <w:rFonts w:ascii="Times New Roman" w:hAnsi="Times New Roman"/>
          <w:i/>
          <w:iCs/>
          <w:sz w:val="28"/>
          <w:szCs w:val="28"/>
          <w:u w:val="single"/>
        </w:rPr>
        <w:t>9,7 млрд. грн.</w:t>
      </w:r>
      <w:r w:rsidRPr="00F37E5B">
        <w:rPr>
          <w:rFonts w:ascii="Times New Roman" w:hAnsi="Times New Roman"/>
          <w:sz w:val="28"/>
          <w:szCs w:val="28"/>
        </w:rPr>
        <w:t xml:space="preserve"> – за послуги із забезпечення збільшення частки виробництва електроенергії з альтернативних джерел. </w:t>
      </w:r>
      <w:r w:rsidRPr="00F37E5B">
        <w:rPr>
          <w:rFonts w:ascii="Times New Roman" w:hAnsi="Times New Roman"/>
          <w:color w:val="000000"/>
          <w:sz w:val="28"/>
          <w:szCs w:val="28"/>
        </w:rPr>
        <w:t xml:space="preserve">Невиконані фінансові зобов’язання на 9,7 млрд. грн. за послуги із забезпечення збільшення частки виробництва електроенергії з </w:t>
      </w:r>
      <w:r w:rsidRPr="00CF779A">
        <w:rPr>
          <w:rFonts w:ascii="Times New Roman" w:hAnsi="Times New Roman"/>
          <w:color w:val="000000"/>
          <w:sz w:val="28"/>
          <w:szCs w:val="28"/>
        </w:rPr>
        <w:t xml:space="preserve">альтернативних джерел  у 2020 році включають в себе борги: </w:t>
      </w:r>
      <w:r w:rsidRPr="00CF779A">
        <w:rPr>
          <w:rFonts w:ascii="Times New Roman" w:hAnsi="Times New Roman"/>
          <w:i/>
          <w:iCs/>
          <w:color w:val="000000"/>
          <w:sz w:val="28"/>
          <w:szCs w:val="28"/>
          <w:u w:val="single"/>
        </w:rPr>
        <w:t>0,4 млрд. грн. – за січень, 2,6 млрд. грн.  – за лютий,  3,1 млрд. грн. – за березень,</w:t>
      </w:r>
      <w:r w:rsidRPr="00CF779A">
        <w:rPr>
          <w:rFonts w:ascii="Times New Roman" w:hAnsi="Times New Roman"/>
          <w:color w:val="000000"/>
          <w:sz w:val="28"/>
          <w:szCs w:val="28"/>
        </w:rPr>
        <w:t xml:space="preserve"> 3,6 млрд. грн. – за 20 днів квітня.</w:t>
      </w:r>
    </w:p>
    <w:p w:rsidR="00912B2A" w:rsidRPr="00F37E5B" w:rsidRDefault="00912B2A" w:rsidP="00912B2A">
      <w:pPr>
        <w:ind w:firstLine="709"/>
        <w:jc w:val="both"/>
        <w:rPr>
          <w:rFonts w:hint="eastAsia"/>
        </w:rPr>
      </w:pPr>
      <w:r w:rsidRPr="00CF779A">
        <w:rPr>
          <w:rFonts w:ascii="Times New Roman" w:hAnsi="Times New Roman"/>
          <w:sz w:val="28"/>
          <w:szCs w:val="28"/>
        </w:rPr>
        <w:t>Крім суттєвих розбіжностей у сумі заборгованості, наведені дані</w:t>
      </w:r>
      <w:r w:rsidRPr="00F37E5B">
        <w:rPr>
          <w:rFonts w:ascii="Times New Roman" w:hAnsi="Times New Roman"/>
          <w:sz w:val="28"/>
          <w:szCs w:val="28"/>
        </w:rPr>
        <w:t xml:space="preserve"> не свідчать про наявність причинно-наслідкового зв'язку між коронавірусним захворюванням та заборгованістю на ринку електричної енергії, оскільки заборгованість виникла до запровадження обмежувальних заходів. </w:t>
      </w:r>
    </w:p>
    <w:p w:rsidR="00912B2A" w:rsidRPr="00C10699" w:rsidRDefault="00912B2A" w:rsidP="00912B2A">
      <w:pPr>
        <w:ind w:firstLine="709"/>
        <w:jc w:val="both"/>
        <w:rPr>
          <w:rFonts w:ascii="Times New Roman" w:hAnsi="Times New Roman"/>
          <w:sz w:val="28"/>
          <w:szCs w:val="28"/>
        </w:rPr>
      </w:pPr>
      <w:r w:rsidRPr="00F37E5B">
        <w:rPr>
          <w:rFonts w:ascii="Times New Roman" w:hAnsi="Times New Roman"/>
          <w:sz w:val="28"/>
          <w:szCs w:val="28"/>
        </w:rPr>
        <w:t>За інформацією, розміщеною</w:t>
      </w:r>
      <w:r>
        <w:rPr>
          <w:rFonts w:ascii="Times New Roman" w:hAnsi="Times New Roman"/>
          <w:sz w:val="28"/>
          <w:szCs w:val="28"/>
        </w:rPr>
        <w:t xml:space="preserve"> 21.03.2020 на офіційному сайті</w:t>
      </w:r>
      <w:r w:rsidRPr="00556241">
        <w:rPr>
          <w:rFonts w:ascii="Times New Roman" w:hAnsi="Times New Roman"/>
          <w:sz w:val="28"/>
          <w:szCs w:val="28"/>
        </w:rPr>
        <w:t xml:space="preserve"> </w:t>
      </w:r>
      <w:r w:rsidRPr="00F37E5B">
        <w:rPr>
          <w:rFonts w:ascii="Times New Roman" w:hAnsi="Times New Roman"/>
          <w:sz w:val="28"/>
          <w:szCs w:val="28"/>
        </w:rPr>
        <w:t>Міністерства</w:t>
      </w:r>
      <w:r>
        <w:rPr>
          <w:rFonts w:ascii="Times New Roman" w:hAnsi="Times New Roman"/>
          <w:sz w:val="28"/>
          <w:szCs w:val="28"/>
        </w:rPr>
        <w:t xml:space="preserve"> енергетики та захисту довкілля</w:t>
      </w:r>
      <w:r w:rsidRPr="00556241">
        <w:rPr>
          <w:rFonts w:ascii="Times New Roman" w:hAnsi="Times New Roman"/>
          <w:sz w:val="28"/>
          <w:szCs w:val="28"/>
        </w:rPr>
        <w:t xml:space="preserve"> </w:t>
      </w:r>
      <w:r w:rsidRPr="00F37E5B">
        <w:rPr>
          <w:rFonts w:ascii="Times New Roman" w:hAnsi="Times New Roman"/>
          <w:sz w:val="28"/>
          <w:szCs w:val="28"/>
        </w:rPr>
        <w:t>(</w:t>
      </w:r>
      <w:hyperlink r:id="rId7" w:history="1">
        <w:r w:rsidR="002C26AF" w:rsidRPr="002C26AF">
          <w:rPr>
            <w:rStyle w:val="a3"/>
            <w:rFonts w:ascii="Times New Roman" w:hAnsi="Times New Roman"/>
            <w:color w:val="000000" w:themeColor="text1"/>
            <w:sz w:val="28"/>
            <w:szCs w:val="28"/>
            <w:u w:val="none"/>
          </w:rPr>
          <w:t>https://menr.gov.ua/news/</w:t>
        </w:r>
        <w:r w:rsidR="002C26AF" w:rsidRPr="002C26AF">
          <w:rPr>
            <w:rStyle w:val="a3"/>
            <w:rFonts w:ascii="Times New Roman" w:hAnsi="Times New Roman"/>
            <w:color w:val="000000" w:themeColor="text1"/>
            <w:sz w:val="28"/>
            <w:szCs w:val="28"/>
            <w:u w:val="none"/>
          </w:rPr>
          <w:br/>
          <w:t>34883.html</w:t>
        </w:r>
      </w:hyperlink>
      <w:r w:rsidRPr="00F37E5B">
        <w:t>)</w:t>
      </w:r>
      <w:r w:rsidRPr="00F37E5B">
        <w:rPr>
          <w:rFonts w:ascii="Times New Roman" w:hAnsi="Times New Roman"/>
          <w:sz w:val="28"/>
          <w:szCs w:val="28"/>
        </w:rPr>
        <w:t xml:space="preserve"> «станом на 18.03.2020, ПрАТ «НЕК «Укренерго» розрахувалася з постачальниками універсальної послуги за послугу із забезпечення збільшення частки виробництва електричної енергії з альтернативних джерел енергії за ІІ півріччя 2019 року. Загалом на користь постачальників універсальних послуг сплачено 758,4 млн грн (з ПДВ). Таким чином, наразі постачальники універсальних послуг отримали необхідні кошти для розрахунків за «зеленим» тарифом з приватними домогосподарствами за </w:t>
      </w:r>
      <w:r w:rsidRPr="00556241">
        <w:rPr>
          <w:rFonts w:ascii="Times New Roman" w:hAnsi="Times New Roman"/>
          <w:sz w:val="28"/>
          <w:szCs w:val="28"/>
          <w:lang w:val="ru-RU"/>
        </w:rPr>
        <w:br/>
      </w:r>
      <w:r w:rsidRPr="00F37E5B">
        <w:rPr>
          <w:rFonts w:ascii="Times New Roman" w:hAnsi="Times New Roman"/>
          <w:sz w:val="28"/>
          <w:szCs w:val="28"/>
        </w:rPr>
        <w:t>2019 рік. Разом з тим, наразі існує оперативна заборгованість ПрАТ «НЕК «Укренерго» перед постачальниками універсальних послуг за послугу із забезпечення збільшення частки виробництва електричної енергії з альтернативних джерел енергії: за січень 2020 року в обсязі 7,5 млн грн; за лютий 2020 – 102 млн грн (з ПДВ)».</w:t>
      </w:r>
    </w:p>
    <w:p w:rsidR="00912B2A" w:rsidRPr="00F37E5B" w:rsidRDefault="00912B2A" w:rsidP="00912B2A">
      <w:pPr>
        <w:ind w:firstLine="709"/>
        <w:jc w:val="both"/>
        <w:rPr>
          <w:rFonts w:hint="eastAsia"/>
        </w:rPr>
      </w:pPr>
      <w:r w:rsidRPr="00F37E5B">
        <w:rPr>
          <w:rFonts w:ascii="Times New Roman" w:hAnsi="Times New Roman"/>
          <w:sz w:val="28"/>
          <w:szCs w:val="28"/>
        </w:rPr>
        <w:t xml:space="preserve">Вказане свідчить, що ПрАТ «НЕК «Укренерго» має заборгованість  за послугу із забезпечення збільшення частки виробництва електричної енергії з альтернативних джерел енергії не лише перед ДП «Гарантований покупець», а й перед постачальниками універсальних послуг. Така заборгованість </w:t>
      </w:r>
      <w:r w:rsidRPr="00F37E5B">
        <w:rPr>
          <w:rFonts w:ascii="Times New Roman" w:hAnsi="Times New Roman"/>
          <w:sz w:val="28"/>
          <w:szCs w:val="28"/>
        </w:rPr>
        <w:lastRenderedPageBreak/>
        <w:t>існувала і в 2019 році, для її погашення Урядом були вжиті певні заходи (див., постанову Кабінету Міністрів України від 09.12.2019 № 1003). Однак</w:t>
      </w:r>
      <w:r w:rsidRPr="00C10699">
        <w:rPr>
          <w:rFonts w:ascii="Times New Roman" w:hAnsi="Times New Roman"/>
          <w:strike/>
          <w:sz w:val="28"/>
          <w:szCs w:val="28"/>
        </w:rPr>
        <w:t xml:space="preserve"> </w:t>
      </w:r>
      <w:r w:rsidRPr="00F37E5B">
        <w:rPr>
          <w:rFonts w:ascii="Times New Roman" w:hAnsi="Times New Roman"/>
          <w:sz w:val="28"/>
          <w:szCs w:val="28"/>
        </w:rPr>
        <w:t>заборгованість перед постачальниками універсальних послуг залишилась поза увагою законопроекту, у якому йдеться про розрахунки «виключно з гарантованим покупцем».</w:t>
      </w:r>
    </w:p>
    <w:p w:rsidR="00912B2A" w:rsidRPr="00F37E5B" w:rsidRDefault="00912B2A" w:rsidP="00912B2A">
      <w:pPr>
        <w:ind w:firstLine="709"/>
        <w:jc w:val="both"/>
        <w:rPr>
          <w:rFonts w:hint="eastAsia"/>
        </w:rPr>
      </w:pPr>
      <w:r w:rsidRPr="00F37E5B">
        <w:rPr>
          <w:rFonts w:ascii="Times New Roman" w:hAnsi="Times New Roman"/>
          <w:sz w:val="28"/>
          <w:szCs w:val="28"/>
        </w:rPr>
        <w:t>У законопроекті йдеться про «</w:t>
      </w:r>
      <w:r w:rsidRPr="00F37E5B">
        <w:rPr>
          <w:rFonts w:ascii="Times New Roman" w:eastAsia="Times New Roman" w:hAnsi="Times New Roman" w:cs="Times New Roman"/>
          <w:sz w:val="28"/>
          <w:szCs w:val="28"/>
        </w:rPr>
        <w:t xml:space="preserve">отримані </w:t>
      </w:r>
      <w:r w:rsidRPr="00F37E5B">
        <w:rPr>
          <w:rFonts w:ascii="Times New Roman" w:eastAsia="Times New Roman" w:hAnsi="Times New Roman" w:cs="Times New Roman"/>
          <w:i/>
          <w:iCs/>
          <w:sz w:val="28"/>
          <w:szCs w:val="28"/>
          <w:u w:val="single"/>
        </w:rPr>
        <w:t>станом на 1 травня 2020 року</w:t>
      </w:r>
      <w:r w:rsidRPr="00F37E5B">
        <w:rPr>
          <w:rFonts w:ascii="Times New Roman" w:eastAsia="Times New Roman" w:hAnsi="Times New Roman" w:cs="Times New Roman"/>
          <w:sz w:val="28"/>
          <w:szCs w:val="28"/>
        </w:rPr>
        <w:t xml:space="preserve"> оператором системи передачі доходи від розподілу пропускної спроможності міждержавного перетину». Однак у супровідних документах відсутня інформація щодо суми цих доходів (скільки було отримано, скільки використано і має бути використано за цільовим призначенням, скільки є «вільних» коштів, що можуть бути спрямовані на розрахунки з </w:t>
      </w:r>
      <w:r w:rsidRPr="00F37E5B">
        <w:rPr>
          <w:rFonts w:ascii="Times New Roman" w:eastAsia="Times New Roman" w:hAnsi="Times New Roman" w:cs="Times New Roman"/>
          <w:sz w:val="28"/>
          <w:szCs w:val="28"/>
        </w:rPr>
        <w:br/>
        <w:t xml:space="preserve">ДП «Грантований покупець»). Також не наведено достовірних даних про суму заборгованості ДП «Гарантований покупець» за виконання спеціальних обов’язків із купівлі електричної енергії за «зеленим» тарифом станом </w:t>
      </w:r>
      <w:r w:rsidRPr="00F37E5B">
        <w:rPr>
          <w:rFonts w:ascii="Times New Roman" w:eastAsia="Times New Roman" w:hAnsi="Times New Roman" w:cs="Times New Roman"/>
          <w:sz w:val="28"/>
          <w:szCs w:val="28"/>
        </w:rPr>
        <w:br/>
        <w:t>на 1 травня 2020 року.</w:t>
      </w:r>
    </w:p>
    <w:p w:rsidR="00912B2A" w:rsidRPr="00F37E5B" w:rsidRDefault="00912B2A" w:rsidP="00912B2A">
      <w:pPr>
        <w:ind w:firstLine="709"/>
        <w:jc w:val="both"/>
        <w:rPr>
          <w:rFonts w:hint="eastAsia"/>
        </w:rPr>
      </w:pPr>
      <w:r w:rsidRPr="00F37E5B">
        <w:rPr>
          <w:rFonts w:ascii="Times New Roman" w:eastAsia="Times New Roman" w:hAnsi="Times New Roman" w:cs="Times New Roman"/>
          <w:sz w:val="28"/>
          <w:szCs w:val="28"/>
        </w:rPr>
        <w:t>Згідно з абз. 2 нового п. 25 розділу ХVІІ «</w:t>
      </w:r>
      <w:r w:rsidRPr="00F37E5B">
        <w:rPr>
          <w:rFonts w:ascii="Times New Roman" w:eastAsia="Times New Roman" w:hAnsi="Times New Roman" w:cs="Times New Roman"/>
          <w:color w:val="000000"/>
          <w:sz w:val="28"/>
          <w:szCs w:val="28"/>
        </w:rPr>
        <w:t>Прикінцеві та перехідні положення» Закону «</w:t>
      </w:r>
      <w:r w:rsidRPr="00F37E5B">
        <w:rPr>
          <w:rFonts w:ascii="Times New Roman" w:eastAsia="Times New Roman" w:hAnsi="Times New Roman" w:cs="Times New Roman"/>
          <w:i/>
          <w:iCs/>
          <w:color w:val="000000"/>
          <w:sz w:val="28"/>
          <w:szCs w:val="28"/>
          <w:u w:val="single"/>
        </w:rPr>
        <w:t>залишок коштів після  погашення боргів</w:t>
      </w:r>
      <w:r w:rsidRPr="00F37E5B">
        <w:rPr>
          <w:rFonts w:ascii="Times New Roman" w:eastAsia="Times New Roman" w:hAnsi="Times New Roman" w:cs="Times New Roman"/>
          <w:color w:val="000000"/>
          <w:sz w:val="28"/>
          <w:szCs w:val="28"/>
        </w:rPr>
        <w:t xml:space="preserve"> за виконання спеціальних обов’язків із купівлі електричної енергії за «зеленим» тарифом спрямовується гарантованим покупцем на оплату  електричної енергії за «зеленим» тарифом». Це означає, що </w:t>
      </w:r>
      <w:r w:rsidRPr="00F37E5B">
        <w:rPr>
          <w:rFonts w:ascii="Times New Roman" w:eastAsia="Times New Roman" w:hAnsi="Times New Roman" w:cs="Times New Roman"/>
          <w:sz w:val="28"/>
          <w:szCs w:val="28"/>
        </w:rPr>
        <w:t xml:space="preserve">ПрАТ «НЕК «Укренерго» має перерахувати ДП «Гарантований покупець» суму коштів, що перевищує його заборгованість перед ДП, а також перевищує заборгованість ДП за придбану електроенергію. Подібні рішення також потребують аргументації, у першу чергу, фінансово-економічної.  </w:t>
      </w:r>
    </w:p>
    <w:p w:rsidR="00912B2A" w:rsidRPr="00F37E5B" w:rsidRDefault="00912B2A" w:rsidP="00912B2A">
      <w:pPr>
        <w:ind w:firstLine="709"/>
        <w:jc w:val="both"/>
        <w:rPr>
          <w:rFonts w:hint="eastAsia"/>
        </w:rPr>
      </w:pPr>
      <w:r w:rsidRPr="00F37E5B">
        <w:rPr>
          <w:rFonts w:ascii="Times New Roman" w:eastAsia="Times New Roman" w:hAnsi="Times New Roman" w:cs="Times New Roman"/>
          <w:sz w:val="28"/>
          <w:szCs w:val="28"/>
        </w:rPr>
        <w:t>Відсутність належного фінансово-економічного обґрунтування унеможливлює надання об'єктивної оцінки дієвості запропонованих змін.</w:t>
      </w:r>
    </w:p>
    <w:p w:rsidR="00912B2A" w:rsidRPr="00F37E5B" w:rsidRDefault="00912B2A" w:rsidP="00912B2A">
      <w:pPr>
        <w:ind w:firstLine="709"/>
        <w:jc w:val="both"/>
        <w:rPr>
          <w:rFonts w:hint="eastAsia"/>
        </w:rPr>
      </w:pPr>
      <w:r w:rsidRPr="00F37E5B">
        <w:rPr>
          <w:rFonts w:ascii="Times New Roman" w:eastAsia="Times New Roman" w:hAnsi="Times New Roman" w:cs="Times New Roman"/>
          <w:b/>
          <w:bCs/>
          <w:sz w:val="28"/>
          <w:szCs w:val="28"/>
        </w:rPr>
        <w:t>4.</w:t>
      </w:r>
      <w:r w:rsidRPr="00F37E5B">
        <w:rPr>
          <w:rFonts w:ascii="Times New Roman" w:eastAsia="Times New Roman" w:hAnsi="Times New Roman" w:cs="Times New Roman"/>
          <w:sz w:val="28"/>
          <w:szCs w:val="28"/>
        </w:rPr>
        <w:t xml:space="preserve"> Законопроектом, по суті, </w:t>
      </w:r>
      <w:r w:rsidRPr="00CF779A">
        <w:rPr>
          <w:rFonts w:ascii="Times New Roman" w:eastAsia="Times New Roman" w:hAnsi="Times New Roman" w:cs="Times New Roman"/>
          <w:sz w:val="28"/>
          <w:szCs w:val="28"/>
        </w:rPr>
        <w:t>передбачається санкціонування Верховною Радою України проведення разових розрахунків між двома господарюючими суб'єктами. Головне управління критично ставиться до такої законотворчої практики, оскільки закон за своєю правовою природою є постійно діючим нормативно-правовим актом вищої юридичної сили, який регулює найважливіші суспільні відносини на сталій основі. Крім цього, вищенаведені дані з відкритих джерел свідчать про те, що заборгованість на енергоринку має постійний характер, у зв'язку із чим питання</w:t>
      </w:r>
      <w:r w:rsidRPr="00F37E5B">
        <w:rPr>
          <w:rFonts w:ascii="Times New Roman" w:eastAsia="Times New Roman" w:hAnsi="Times New Roman" w:cs="Times New Roman"/>
          <w:sz w:val="28"/>
          <w:szCs w:val="28"/>
        </w:rPr>
        <w:t xml:space="preserve"> її погашення потребує системних змін, а не разових рішень.</w:t>
      </w:r>
    </w:p>
    <w:p w:rsidR="00912B2A" w:rsidRPr="00F37E5B" w:rsidRDefault="00912B2A" w:rsidP="00912B2A">
      <w:pPr>
        <w:ind w:firstLine="709"/>
        <w:jc w:val="both"/>
        <w:rPr>
          <w:rFonts w:ascii="Times New Roman" w:hAnsi="Times New Roman" w:cs="Times New Roman"/>
          <w:color w:val="000000"/>
          <w:sz w:val="28"/>
          <w:szCs w:val="28"/>
        </w:rPr>
      </w:pPr>
    </w:p>
    <w:p w:rsidR="00912B2A" w:rsidRPr="00F37E5B" w:rsidRDefault="00912B2A" w:rsidP="00912B2A">
      <w:pPr>
        <w:ind w:firstLine="720"/>
        <w:jc w:val="both"/>
        <w:rPr>
          <w:rFonts w:ascii="Times New Roman" w:hAnsi="Times New Roman" w:cs="Times New Roman"/>
          <w:color w:val="000000"/>
          <w:sz w:val="28"/>
          <w:szCs w:val="28"/>
        </w:rPr>
      </w:pPr>
    </w:p>
    <w:p w:rsidR="00912B2A" w:rsidRPr="00F37E5B" w:rsidRDefault="00912B2A" w:rsidP="00912B2A">
      <w:pPr>
        <w:ind w:firstLine="720"/>
        <w:jc w:val="both"/>
        <w:rPr>
          <w:rFonts w:ascii="Times New Roman" w:hAnsi="Times New Roman" w:cs="Times New Roman"/>
          <w:color w:val="000000"/>
          <w:sz w:val="28"/>
          <w:szCs w:val="28"/>
        </w:rPr>
      </w:pPr>
      <w:r w:rsidRPr="00F37E5B">
        <w:rPr>
          <w:rFonts w:ascii="Times New Roman" w:hAnsi="Times New Roman" w:cs="Times New Roman"/>
          <w:color w:val="000000"/>
          <w:sz w:val="28"/>
          <w:szCs w:val="28"/>
        </w:rPr>
        <w:t>Керівник Головного управління                                          С. Тихонюк</w:t>
      </w:r>
    </w:p>
    <w:p w:rsidR="00912B2A" w:rsidRPr="00F37E5B" w:rsidRDefault="00912B2A" w:rsidP="00912B2A">
      <w:pPr>
        <w:ind w:firstLine="720"/>
        <w:jc w:val="both"/>
        <w:rPr>
          <w:rFonts w:ascii="Times New Roman" w:hAnsi="Times New Roman" w:cs="Times New Roman"/>
          <w:color w:val="000000"/>
          <w:sz w:val="28"/>
          <w:szCs w:val="28"/>
        </w:rPr>
      </w:pPr>
    </w:p>
    <w:p w:rsidR="00912B2A" w:rsidRPr="00F37E5B" w:rsidRDefault="00912B2A" w:rsidP="00912B2A">
      <w:pPr>
        <w:ind w:firstLine="720"/>
        <w:jc w:val="both"/>
        <w:rPr>
          <w:rFonts w:ascii="Times New Roman" w:hAnsi="Times New Roman" w:cs="Times New Roman"/>
          <w:color w:val="000000"/>
          <w:sz w:val="28"/>
          <w:szCs w:val="28"/>
        </w:rPr>
      </w:pPr>
    </w:p>
    <w:p w:rsidR="00912B2A" w:rsidRPr="00556241" w:rsidRDefault="00912B2A" w:rsidP="00912B2A">
      <w:pPr>
        <w:ind w:firstLine="720"/>
        <w:jc w:val="both"/>
        <w:rPr>
          <w:rFonts w:ascii="Times New Roman" w:hAnsi="Times New Roman" w:cs="Times New Roman"/>
          <w:iCs/>
          <w:color w:val="000000"/>
          <w:sz w:val="20"/>
          <w:szCs w:val="20"/>
          <w:lang w:val="ru-RU"/>
        </w:rPr>
      </w:pPr>
      <w:r w:rsidRPr="00F37E5B">
        <w:rPr>
          <w:rFonts w:ascii="Times New Roman" w:hAnsi="Times New Roman" w:cs="Times New Roman"/>
          <w:iCs/>
          <w:color w:val="000000"/>
          <w:sz w:val="20"/>
          <w:szCs w:val="20"/>
        </w:rPr>
        <w:t xml:space="preserve">Вик.: О. Олещенко, Ю. </w:t>
      </w:r>
      <w:proofErr w:type="spellStart"/>
      <w:r w:rsidRPr="00F37E5B">
        <w:rPr>
          <w:rFonts w:ascii="Times New Roman" w:hAnsi="Times New Roman" w:cs="Times New Roman"/>
          <w:iCs/>
          <w:color w:val="000000"/>
          <w:sz w:val="20"/>
          <w:szCs w:val="20"/>
        </w:rPr>
        <w:t>Лисицька</w:t>
      </w:r>
      <w:proofErr w:type="spellEnd"/>
    </w:p>
    <w:p w:rsidR="00912B2A" w:rsidRPr="00556241" w:rsidRDefault="00912B2A" w:rsidP="00912B2A">
      <w:pPr>
        <w:ind w:firstLine="720"/>
        <w:jc w:val="both"/>
        <w:rPr>
          <w:rFonts w:ascii="Times New Roman" w:hAnsi="Times New Roman" w:cs="Times New Roman"/>
          <w:iCs/>
          <w:color w:val="000000"/>
          <w:sz w:val="20"/>
          <w:szCs w:val="20"/>
          <w:lang w:val="ru-RU"/>
        </w:rPr>
      </w:pPr>
    </w:p>
    <w:p w:rsidR="00912B2A" w:rsidRPr="00556241" w:rsidRDefault="00912B2A" w:rsidP="00912B2A">
      <w:pPr>
        <w:ind w:firstLine="720"/>
        <w:jc w:val="both"/>
        <w:rPr>
          <w:rFonts w:ascii="Times New Roman" w:hAnsi="Times New Roman" w:cs="Times New Roman"/>
          <w:iCs/>
          <w:color w:val="000000"/>
          <w:sz w:val="20"/>
          <w:szCs w:val="20"/>
          <w:lang w:val="ru-RU"/>
        </w:rPr>
      </w:pPr>
    </w:p>
    <w:p w:rsidR="00912B2A" w:rsidRPr="00556241" w:rsidRDefault="00912B2A" w:rsidP="00912B2A">
      <w:pPr>
        <w:ind w:firstLine="720"/>
        <w:jc w:val="both"/>
        <w:rPr>
          <w:rFonts w:ascii="Times New Roman" w:hAnsi="Times New Roman" w:cs="Times New Roman"/>
          <w:iCs/>
          <w:color w:val="000000"/>
          <w:sz w:val="20"/>
          <w:szCs w:val="20"/>
          <w:lang w:val="ru-RU"/>
        </w:rPr>
      </w:pPr>
    </w:p>
    <w:p w:rsidR="00912B2A" w:rsidRPr="00556241" w:rsidRDefault="00912B2A" w:rsidP="00912B2A">
      <w:pPr>
        <w:ind w:firstLine="720"/>
        <w:jc w:val="both"/>
        <w:rPr>
          <w:rFonts w:hint="eastAsia"/>
          <w:lang w:val="ru-RU"/>
        </w:rPr>
      </w:pPr>
    </w:p>
    <w:p w:rsidR="00E273F3" w:rsidRPr="00556241" w:rsidRDefault="002C26AF">
      <w:pPr>
        <w:rPr>
          <w:rFonts w:hint="eastAsia"/>
          <w:lang w:val="ru-RU"/>
        </w:rPr>
      </w:pPr>
    </w:p>
    <w:sectPr w:rsidR="00E273F3" w:rsidRPr="00556241" w:rsidSect="004F37F6">
      <w:headerReference w:type="default" r:id="rId8"/>
      <w:headerReference w:type="first" r:id="rId9"/>
      <w:pgSz w:w="11906" w:h="16838"/>
      <w:pgMar w:top="1134" w:right="851"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C26AF">
      <w:pPr>
        <w:rPr>
          <w:rFonts w:hint="eastAsia"/>
        </w:rPr>
      </w:pPr>
      <w:r>
        <w:separator/>
      </w:r>
    </w:p>
  </w:endnote>
  <w:endnote w:type="continuationSeparator" w:id="0">
    <w:p w:rsidR="00000000" w:rsidRDefault="002C26A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C26AF">
      <w:pPr>
        <w:rPr>
          <w:rFonts w:hint="eastAsia"/>
        </w:rPr>
      </w:pPr>
      <w:r>
        <w:separator/>
      </w:r>
    </w:p>
  </w:footnote>
  <w:footnote w:type="continuationSeparator" w:id="0">
    <w:p w:rsidR="00000000" w:rsidRDefault="002C26A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7F6" w:rsidRPr="00CF779A" w:rsidRDefault="00912B2A" w:rsidP="00CF779A">
    <w:pPr>
      <w:pStyle w:val="a4"/>
      <w:jc w:val="right"/>
      <w:rPr>
        <w:rFonts w:hint="eastAsia"/>
        <w:lang w:val="en-US"/>
      </w:rPr>
    </w:pPr>
    <w:r>
      <w:fldChar w:fldCharType="begin"/>
    </w:r>
    <w:r>
      <w:instrText xml:space="preserve"> PAGE   \* MERGEFORMAT </w:instrText>
    </w:r>
    <w:r>
      <w:fldChar w:fldCharType="separate"/>
    </w:r>
    <w:r w:rsidR="002C26AF">
      <w:rPr>
        <w:rFonts w:hint="eastAsia"/>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7F6" w:rsidRDefault="00912B2A" w:rsidP="004F37F6">
    <w:pPr>
      <w:pStyle w:val="a4"/>
      <w:jc w:val="right"/>
      <w:rPr>
        <w:rFonts w:hint="eastAsia"/>
      </w:rPr>
    </w:pPr>
    <w:r>
      <w:rPr>
        <w:rFonts w:ascii="Times New Roman" w:hAnsi="Times New Roman" w:cs="Times New Roman"/>
        <w:sz w:val="20"/>
        <w:szCs w:val="20"/>
      </w:rPr>
      <w:t>До реєстр. № 3388 від 24.04.2020</w:t>
    </w:r>
  </w:p>
  <w:p w:rsidR="004F37F6" w:rsidRDefault="00912B2A" w:rsidP="004F37F6">
    <w:pPr>
      <w:pStyle w:val="a4"/>
      <w:jc w:val="right"/>
      <w:rPr>
        <w:rFonts w:ascii="Times New Roman" w:hAnsi="Times New Roman" w:cs="Times New Roman"/>
        <w:sz w:val="20"/>
        <w:szCs w:val="20"/>
      </w:rPr>
    </w:pPr>
    <w:r>
      <w:rPr>
        <w:rFonts w:ascii="Times New Roman" w:hAnsi="Times New Roman" w:cs="Times New Roman"/>
        <w:sz w:val="20"/>
        <w:szCs w:val="20"/>
      </w:rPr>
      <w:t>Народний депутат України</w:t>
    </w:r>
  </w:p>
  <w:p w:rsidR="004F37F6" w:rsidRDefault="00912B2A" w:rsidP="004F37F6">
    <w:pPr>
      <w:pStyle w:val="a4"/>
      <w:jc w:val="right"/>
      <w:rPr>
        <w:rFonts w:hint="eastAsia"/>
      </w:rPr>
    </w:pPr>
    <w:r>
      <w:rPr>
        <w:rFonts w:ascii="Times New Roman" w:hAnsi="Times New Roman" w:cs="Times New Roman"/>
        <w:sz w:val="20"/>
        <w:szCs w:val="20"/>
      </w:rPr>
      <w:t>Л. Буймістер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B2A"/>
    <w:rsid w:val="001D31D8"/>
    <w:rsid w:val="002C26AF"/>
    <w:rsid w:val="00410569"/>
    <w:rsid w:val="00556241"/>
    <w:rsid w:val="00912B2A"/>
    <w:rsid w:val="00996721"/>
    <w:rsid w:val="00B51DA4"/>
    <w:rsid w:val="00BF566D"/>
    <w:rsid w:val="00EA1A2B"/>
    <w:rsid w:val="00ED48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4A834"/>
  <w15:docId w15:val="{5F304613-D25B-4418-9C5A-06D099E3C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B2A"/>
    <w:pPr>
      <w:suppressAutoHyphens/>
      <w:spacing w:after="0" w:line="240" w:lineRule="auto"/>
    </w:pPr>
    <w:rPr>
      <w:rFonts w:ascii="Liberation Serif" w:eastAsia="NSimSun" w:hAnsi="Liberation Serif" w:cs="Arial"/>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12B2A"/>
    <w:rPr>
      <w:color w:val="000080"/>
      <w:u w:val="single"/>
    </w:rPr>
  </w:style>
  <w:style w:type="paragraph" w:styleId="a4">
    <w:name w:val="header"/>
    <w:basedOn w:val="a"/>
    <w:link w:val="a5"/>
    <w:uiPriority w:val="99"/>
    <w:rsid w:val="00912B2A"/>
    <w:pPr>
      <w:suppressLineNumbers/>
      <w:tabs>
        <w:tab w:val="center" w:pos="4819"/>
        <w:tab w:val="right" w:pos="9638"/>
      </w:tabs>
    </w:pPr>
  </w:style>
  <w:style w:type="character" w:customStyle="1" w:styleId="a5">
    <w:name w:val="Верхній колонтитул Знак"/>
    <w:basedOn w:val="a0"/>
    <w:link w:val="a4"/>
    <w:uiPriority w:val="99"/>
    <w:rsid w:val="00912B2A"/>
    <w:rPr>
      <w:rFonts w:ascii="Liberation Serif" w:eastAsia="NSimSun" w:hAnsi="Liberation Serif" w:cs="Arial"/>
      <w:kern w:val="2"/>
      <w:sz w:val="24"/>
      <w:szCs w:val="24"/>
      <w:lang w:eastAsia="zh-CN" w:bidi="hi-IN"/>
    </w:rPr>
  </w:style>
  <w:style w:type="character" w:styleId="a6">
    <w:name w:val="FollowedHyperlink"/>
    <w:basedOn w:val="a0"/>
    <w:uiPriority w:val="99"/>
    <w:semiHidden/>
    <w:unhideWhenUsed/>
    <w:rsid w:val="005562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enr.gov.ua/news/34883.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pee.com.ua/main/news?id=325"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4958</Words>
  <Characters>2827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Лопотуха Інна Григорівна</cp:lastModifiedBy>
  <cp:revision>5</cp:revision>
  <dcterms:created xsi:type="dcterms:W3CDTF">2020-05-07T12:17:00Z</dcterms:created>
  <dcterms:modified xsi:type="dcterms:W3CDTF">2020-05-07T12:20:00Z</dcterms:modified>
</cp:coreProperties>
</file>