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C70" w:rsidRPr="005A4263" w:rsidRDefault="004D3C70" w:rsidP="005A42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6237"/>
        <w:rPr>
          <w:rFonts w:ascii="Times New Roman" w:hAnsi="Times New Roman"/>
          <w:b/>
          <w:color w:val="292B2C"/>
          <w:sz w:val="28"/>
          <w:szCs w:val="28"/>
          <w:lang w:eastAsia="ru-RU"/>
        </w:rPr>
      </w:pPr>
      <w:bookmarkStart w:id="0" w:name="_GoBack"/>
      <w:bookmarkEnd w:id="0"/>
      <w:r w:rsidRPr="005A4263">
        <w:rPr>
          <w:rFonts w:ascii="Times New Roman" w:hAnsi="Times New Roman"/>
          <w:b/>
          <w:color w:val="292B2C"/>
          <w:sz w:val="28"/>
          <w:szCs w:val="28"/>
          <w:lang w:eastAsia="ru-RU"/>
        </w:rPr>
        <w:t>ПРОЕКТ</w:t>
      </w:r>
    </w:p>
    <w:p w:rsidR="00E47CE7" w:rsidRPr="005A4263" w:rsidRDefault="004D3C70" w:rsidP="005A42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6237"/>
        <w:rPr>
          <w:rFonts w:ascii="Times New Roman" w:hAnsi="Times New Roman"/>
          <w:b/>
          <w:color w:val="292B2C"/>
          <w:sz w:val="28"/>
          <w:szCs w:val="28"/>
          <w:lang w:eastAsia="ru-RU"/>
        </w:rPr>
      </w:pPr>
      <w:r w:rsidRPr="005A4263">
        <w:rPr>
          <w:rFonts w:ascii="Times New Roman" w:hAnsi="Times New Roman"/>
          <w:b/>
          <w:sz w:val="28"/>
          <w:szCs w:val="28"/>
        </w:rPr>
        <w:t>вноситься народними</w:t>
      </w:r>
      <w:r w:rsidR="005B7A1B" w:rsidRPr="005A4263">
        <w:rPr>
          <w:rFonts w:ascii="Times New Roman" w:hAnsi="Times New Roman"/>
          <w:b/>
          <w:color w:val="292B2C"/>
          <w:sz w:val="28"/>
          <w:szCs w:val="28"/>
          <w:lang w:eastAsia="ru-RU"/>
        </w:rPr>
        <w:t xml:space="preserve"> </w:t>
      </w:r>
    </w:p>
    <w:p w:rsidR="004D3C70" w:rsidRPr="005A4263" w:rsidRDefault="004D3C70" w:rsidP="005A426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6237"/>
        <w:rPr>
          <w:rFonts w:ascii="Times New Roman" w:hAnsi="Times New Roman"/>
          <w:b/>
          <w:color w:val="292B2C"/>
          <w:sz w:val="28"/>
          <w:szCs w:val="28"/>
          <w:lang w:eastAsia="ru-RU"/>
        </w:rPr>
      </w:pPr>
      <w:r w:rsidRPr="005A4263">
        <w:rPr>
          <w:rFonts w:ascii="Times New Roman" w:hAnsi="Times New Roman"/>
          <w:b/>
          <w:sz w:val="28"/>
          <w:szCs w:val="28"/>
        </w:rPr>
        <w:t>депутатами України</w:t>
      </w:r>
    </w:p>
    <w:p w:rsidR="003E0D15" w:rsidRPr="005A4263" w:rsidRDefault="003E0D15" w:rsidP="005A4263">
      <w:pPr>
        <w:shd w:val="clear" w:color="auto" w:fill="FFFFFF"/>
        <w:spacing w:after="0" w:line="235" w:lineRule="atLeast"/>
        <w:ind w:right="-1"/>
        <w:rPr>
          <w:rFonts w:ascii="Times New Roman" w:eastAsia="MS Mincho" w:hAnsi="Times New Roman"/>
          <w:b/>
          <w:color w:val="222222"/>
          <w:sz w:val="28"/>
          <w:szCs w:val="28"/>
          <w:lang w:eastAsia="ja-JP"/>
        </w:rPr>
      </w:pPr>
    </w:p>
    <w:p w:rsidR="007D77EE" w:rsidRPr="005A4263" w:rsidRDefault="007D77EE" w:rsidP="005A4263">
      <w:pPr>
        <w:keepNext/>
        <w:keepLines/>
        <w:spacing w:after="0" w:line="240" w:lineRule="auto"/>
        <w:ind w:right="-1"/>
        <w:jc w:val="center"/>
        <w:rPr>
          <w:rFonts w:ascii="Times New Roman" w:hAnsi="Times New Roman"/>
          <w:bCs/>
          <w:iCs/>
          <w:caps/>
          <w:sz w:val="28"/>
          <w:szCs w:val="28"/>
          <w:lang w:eastAsia="ru-RU"/>
        </w:rPr>
      </w:pPr>
    </w:p>
    <w:p w:rsidR="005A4263" w:rsidRDefault="005A4263" w:rsidP="005A4263">
      <w:pPr>
        <w:keepNext/>
        <w:keepLines/>
        <w:spacing w:after="0" w:line="240" w:lineRule="auto"/>
        <w:ind w:right="-1"/>
        <w:jc w:val="center"/>
        <w:rPr>
          <w:rFonts w:ascii="Times New Roman" w:hAnsi="Times New Roman"/>
          <w:bCs/>
          <w:iCs/>
          <w:caps/>
          <w:sz w:val="28"/>
          <w:szCs w:val="28"/>
          <w:lang w:eastAsia="ru-RU"/>
        </w:rPr>
      </w:pPr>
    </w:p>
    <w:p w:rsidR="005A4263" w:rsidRDefault="005A4263" w:rsidP="005A4263">
      <w:pPr>
        <w:keepNext/>
        <w:keepLines/>
        <w:spacing w:after="0" w:line="240" w:lineRule="auto"/>
        <w:ind w:right="-1"/>
        <w:jc w:val="center"/>
        <w:rPr>
          <w:rFonts w:ascii="Times New Roman" w:hAnsi="Times New Roman"/>
          <w:bCs/>
          <w:iCs/>
          <w:caps/>
          <w:sz w:val="28"/>
          <w:szCs w:val="28"/>
          <w:lang w:eastAsia="ru-RU"/>
        </w:rPr>
      </w:pPr>
    </w:p>
    <w:p w:rsidR="005A4263" w:rsidRPr="005A4263" w:rsidRDefault="005A4263" w:rsidP="005A4263">
      <w:pPr>
        <w:keepNext/>
        <w:keepLines/>
        <w:spacing w:after="0" w:line="240" w:lineRule="auto"/>
        <w:ind w:right="-1"/>
        <w:jc w:val="center"/>
        <w:rPr>
          <w:rFonts w:ascii="Times New Roman" w:hAnsi="Times New Roman"/>
          <w:bCs/>
          <w:iCs/>
          <w:caps/>
          <w:sz w:val="28"/>
          <w:szCs w:val="28"/>
          <w:lang w:eastAsia="ru-RU"/>
        </w:rPr>
      </w:pPr>
    </w:p>
    <w:p w:rsidR="007D77EE" w:rsidRPr="005A4263" w:rsidRDefault="007D77EE" w:rsidP="005A4263">
      <w:pPr>
        <w:keepNext/>
        <w:keepLines/>
        <w:spacing w:after="0" w:line="240" w:lineRule="auto"/>
        <w:ind w:right="-1"/>
        <w:jc w:val="center"/>
        <w:rPr>
          <w:rFonts w:ascii="Times New Roman" w:hAnsi="Times New Roman"/>
          <w:bCs/>
          <w:iCs/>
          <w:caps/>
          <w:sz w:val="28"/>
          <w:szCs w:val="28"/>
          <w:lang w:eastAsia="ru-RU"/>
        </w:rPr>
      </w:pPr>
    </w:p>
    <w:p w:rsidR="005A4263" w:rsidRPr="005A4263" w:rsidRDefault="005A4263" w:rsidP="005A4263">
      <w:pPr>
        <w:autoSpaceDE w:val="0"/>
        <w:autoSpaceDN w:val="0"/>
        <w:adjustRightInd w:val="0"/>
        <w:spacing w:after="0" w:line="240" w:lineRule="auto"/>
        <w:ind w:right="-1"/>
        <w:jc w:val="center"/>
        <w:rPr>
          <w:rFonts w:ascii="Times New Roman" w:eastAsia="Calibri" w:hAnsi="Times New Roman"/>
          <w:sz w:val="28"/>
          <w:szCs w:val="28"/>
          <w:lang w:val="ru-RU" w:eastAsia="uk-UA"/>
        </w:rPr>
      </w:pPr>
      <w:r w:rsidRPr="005A4263">
        <w:rPr>
          <w:rFonts w:ascii="Times New Roman" w:eastAsia="Calibri" w:hAnsi="Times New Roman"/>
          <w:b/>
          <w:bCs/>
          <w:sz w:val="28"/>
          <w:szCs w:val="28"/>
          <w:lang w:val="ru-RU" w:eastAsia="uk-UA"/>
        </w:rPr>
        <w:t>ЗАКОН УКРАЇНИ</w:t>
      </w:r>
    </w:p>
    <w:p w:rsidR="005A4263" w:rsidRPr="005A4263" w:rsidRDefault="005A4263" w:rsidP="005A4263">
      <w:pPr>
        <w:autoSpaceDE w:val="0"/>
        <w:autoSpaceDN w:val="0"/>
        <w:adjustRightInd w:val="0"/>
        <w:spacing w:after="0" w:line="240" w:lineRule="auto"/>
        <w:ind w:right="-1"/>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Про меценатство у фізичній культурі і спорті</w:t>
      </w:r>
    </w:p>
    <w:p w:rsidR="005A4263" w:rsidRPr="005A4263" w:rsidRDefault="005A4263" w:rsidP="005A4263">
      <w:pPr>
        <w:autoSpaceDE w:val="0"/>
        <w:autoSpaceDN w:val="0"/>
        <w:adjustRightInd w:val="0"/>
        <w:spacing w:after="0" w:line="240" w:lineRule="auto"/>
        <w:ind w:right="-1"/>
        <w:jc w:val="center"/>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Цей Закон визначає основні правові, економічні, соціальні засади меценатства у спорті, забезпечує правове регулювання відносин у суспільстві, спрямованих на розвиток та забезпечення сприятливих умов для меценатства </w:t>
      </w:r>
      <w:r w:rsidRPr="005A4263">
        <w:rPr>
          <w:rFonts w:ascii="Times New Roman" w:eastAsia="MS Mincho" w:hAnsi="Times New Roman"/>
          <w:sz w:val="28"/>
          <w:szCs w:val="28"/>
          <w:lang w:val="ru-RU" w:eastAsia="uk-UA"/>
        </w:rPr>
        <w:t> </w:t>
      </w:r>
      <w:r w:rsidRPr="005A4263">
        <w:rPr>
          <w:rFonts w:ascii="Times New Roman" w:eastAsia="Calibri" w:hAnsi="Times New Roman"/>
          <w:sz w:val="28"/>
          <w:szCs w:val="28"/>
          <w:lang w:val="ru-RU" w:eastAsia="uk-UA"/>
        </w:rPr>
        <w:t>у спорті.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Розділ 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ЗАГАЛЬНІ ПОЛОЖЕННЯ</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Стаття 1. Визначення термінів</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p>
    <w:p w:rsidR="005A4263" w:rsidRPr="005A4263" w:rsidRDefault="005A4263" w:rsidP="005A4263">
      <w:pPr>
        <w:tabs>
          <w:tab w:val="left" w:pos="960"/>
        </w:tabs>
        <w:autoSpaceDE w:val="0"/>
        <w:autoSpaceDN w:val="0"/>
        <w:adjustRightInd w:val="0"/>
        <w:spacing w:after="0" w:line="240" w:lineRule="auto"/>
        <w:ind w:right="-1"/>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w:t>
      </w:r>
      <w:r w:rsidRPr="005A4263">
        <w:rPr>
          <w:rFonts w:ascii="Times New Roman" w:eastAsia="Calibri" w:hAnsi="Times New Roman"/>
          <w:sz w:val="28"/>
          <w:szCs w:val="28"/>
          <w:lang w:val="ru-RU" w:eastAsia="uk-UA"/>
        </w:rPr>
        <w:tab/>
        <w:t>У цьому Законі наведені нижче терміни вживаються в такому значенні:</w:t>
      </w:r>
    </w:p>
    <w:p w:rsidR="005A4263" w:rsidRPr="005A4263" w:rsidRDefault="005A4263" w:rsidP="005A4263">
      <w:pPr>
        <w:autoSpaceDE w:val="0"/>
        <w:autoSpaceDN w:val="0"/>
        <w:adjustRightInd w:val="0"/>
        <w:spacing w:after="0" w:line="240" w:lineRule="auto"/>
        <w:ind w:right="-1"/>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меценатство у фізичній культурі і спорті (надалі – меценатство у спорті) – це добровільна особиста та/або майнова, фінансова та інша допомога фізичних та юридичних осіб за напрямами, визначеними цим Законом;</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меценат фізичної культури і спорту (надалі – меценат спорту) – фізична або юридична особа приватного права, яка безоплатно передає свої кошти, інше майно, а також безоплатно відступає майнові права та/або права користування та інші речові права на майно і майнові права, безоплатно надає послуги та виконує роботи, безоплатно передає доходи від майна і майнових прав для здійснення меценатства у спорті за напрямами, визначеними цим Законом;</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меценатська допомога – це допомога мецената спорту на користь набувача меценатської допомоги та/або кінцевого бенефіціара меценатської допомоги у видах та за напрямами, визначеними даним Законом;</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набувач меценатської допомоги – національна спортивна федерація з виду спорту, Національний олімпійський комітет України, Спортивний комітет України, Національний комітет спорту інвалідів України, що отримують допомогу від одного або декількох меценатів спорту на здійснення своєї статутної діяльності та реалізації програми розвитку виду спорту, здійснення меценатства за напрямами, визначеними даним Законом, виключно на підставі договору, укладеного з меценатом спорту без участі третіх осіб (кінцевих бенефіціарів);</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lastRenderedPageBreak/>
        <w:t>кінцевими бенефіціарами в розумінні цього Закону є: набувачі меценатської допомоги, дитячо-юнацькі спортивні школи, спеціалізовані навчальні заклади спортивного профілю, школи вищої спортивної майстерності, центри олімпійської підготовки, бази олімпійської, паралімпійської та дефлімпійської підготовки, центри фізичної культури і спорту інвалідів, спортивні клуби, визнані національними спортивними федераціями.</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Спортивними клубами, визнаними національними спортивними федераціями, в розумінні цього Закону є спортивні клуби (юридичні особи), які здійснюють розвиток виду спорту за напрямом діяльності та на підставі рішення керівного органу відповідної національної спортивної федерації або є членами національної спортивної федерації з відповідного виду спорту.</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Інші терміни у цьому Законі вживаються у значеннях, визначених Цивільним і Податковим кодексами України, Законом України «Про фізичну культуру і спорт» та іншими законами.</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Стаття 2. Законодавство про меценатство у спорті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1. Законодавство України про меценатство складається з положень Конституції України, Цивільного, Податкового </w:t>
      </w:r>
      <w:r w:rsidRPr="005A4263">
        <w:rPr>
          <w:rFonts w:ascii="Times New Roman" w:eastAsia="Calibri" w:hAnsi="Times New Roman"/>
          <w:color w:val="000000" w:themeColor="text1"/>
          <w:sz w:val="28"/>
          <w:szCs w:val="28"/>
          <w:lang w:val="ru-RU" w:eastAsia="uk-UA"/>
        </w:rPr>
        <w:t xml:space="preserve">та Митного </w:t>
      </w:r>
      <w:r w:rsidRPr="005A4263">
        <w:rPr>
          <w:rFonts w:ascii="Times New Roman" w:eastAsia="Calibri" w:hAnsi="Times New Roman"/>
          <w:sz w:val="28"/>
          <w:szCs w:val="28"/>
          <w:lang w:val="ru-RU" w:eastAsia="uk-UA"/>
        </w:rPr>
        <w:t>кодексів України, Закону України «Про фізичну культуру і спорт», цього Закону та інших нормативно-правових актів, що регулюють відповідні правовідносини.</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Якщо міжнародним договором України, згода на обов’язковість якого надана Верховною Радою України, встановлено інші норми, ніж ті, що передбачені цим Законом, застосовуються норми міжнародного договору.</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Розділ ІІ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МЕЦЕНАТСТВО У СПОРТІ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Стаття 3. Види, напрями та суб’єкти меценатства у спорті</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Меценати можуть здійснювати меценатську діяльність на підставі одного або декількох видів меценатської діяльності:</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безоплатна передача у власність набувачів меценатської допомоги та/або кінцевих бенефіціарів коштів, майна, а також безоплатне відступлення на користь набувачів меценатської допомоги та/або кінцевих бенефіціарів майнових прав, безоплатне надання послуг та виконання робіт на користь набувачів меценатської допомоги та/або кінцевих бенефіціарів;</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безоплатна передача набувачам меценатської допомоги та/або кінцевим бенефіціарам права користування та інших речових прав на майно і майнові права;</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безоплатна передача набувачам меценатської допомоги та/або кінцевим бенефіціарам доходів від майна і майнових прав;</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4) передача власних приміщень, земельних ділянок у користування чи власність.</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Меценати спорту можуть здійснювати передбачені види меценатства у спорті за одним або декількома напрямами:</w:t>
      </w:r>
    </w:p>
    <w:p w:rsidR="005A4263" w:rsidRPr="005A4263" w:rsidRDefault="005A4263" w:rsidP="005A4263">
      <w:pPr>
        <w:autoSpaceDE w:val="0"/>
        <w:autoSpaceDN w:val="0"/>
        <w:adjustRightInd w:val="0"/>
        <w:spacing w:after="0" w:line="240" w:lineRule="auto"/>
        <w:ind w:right="-1" w:firstLine="567"/>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будівництво, реконструкція та використання спортивних споруд та інших об’єктів спортивної інфраструктури;</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закупівля або передача у власність набувача меценатської допомоги та/або кінцевого бенефіціара спортивного обладнання, інвентарю, екіпіровки, іншого майна та коштів, необхідних для діяльності набувача меценатської допомоги та/або кінцевого бенефіціара;</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організація та проведення спортивних, методичних, медичних, суддівських, просвітницьких заходів різного рівня, що проводяться на території України, забезпечення підготовки та участі у таких заходах спортсменів, команд тощо, забезпечення підготовки та участі у спортивних заходах за кордоном спортсменів, команд тощо;</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trike/>
          <w:sz w:val="28"/>
          <w:szCs w:val="28"/>
          <w:lang w:val="ru-RU" w:eastAsia="uk-UA"/>
        </w:rPr>
      </w:pPr>
      <w:r w:rsidRPr="005A4263">
        <w:rPr>
          <w:rFonts w:ascii="Times New Roman" w:eastAsia="Calibri" w:hAnsi="Times New Roman"/>
          <w:sz w:val="28"/>
          <w:szCs w:val="28"/>
          <w:lang w:val="ru-RU" w:eastAsia="uk-UA"/>
        </w:rPr>
        <w:t>4) підготовка, перепідготовка та підвищення кваліфікації кадрів, включаючи спортсменів та тренерів, у тому числі із залученням міжнародних спеціалістів, науково-методичне та медичне забезпечення, заходи, пов’язані з боротьбою з допінгом у спорті;</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5) фінансова підтримка кінцевих бенефіціарів; </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6) інформаційне забезпечення діяльності та міжнародне співробітництво набувачів меценатської допомоги та/або кінцевих бенефіціарів.</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trike/>
          <w:sz w:val="28"/>
          <w:szCs w:val="28"/>
          <w:lang w:val="ru-RU" w:eastAsia="uk-UA"/>
        </w:rPr>
      </w:pPr>
    </w:p>
    <w:p w:rsidR="005A4263" w:rsidRPr="005A4263" w:rsidRDefault="005A4263" w:rsidP="005A4263">
      <w:pPr>
        <w:autoSpaceDE w:val="0"/>
        <w:autoSpaceDN w:val="0"/>
        <w:adjustRightInd w:val="0"/>
        <w:spacing w:after="0" w:line="240" w:lineRule="auto"/>
        <w:ind w:right="-1" w:firstLine="709"/>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Суб'єктами меценатської діяльності у спорті є:</w:t>
      </w:r>
    </w:p>
    <w:p w:rsidR="005A4263" w:rsidRPr="005A4263" w:rsidRDefault="005A4263" w:rsidP="005A4263">
      <w:pPr>
        <w:autoSpaceDE w:val="0"/>
        <w:autoSpaceDN w:val="0"/>
        <w:adjustRightInd w:val="0"/>
        <w:spacing w:after="0" w:line="240" w:lineRule="auto"/>
        <w:ind w:right="-1" w:firstLine="240"/>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hanging="460"/>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меценати спорту;</w:t>
      </w:r>
    </w:p>
    <w:p w:rsidR="005A4263" w:rsidRPr="005A4263" w:rsidRDefault="005A4263" w:rsidP="005A4263">
      <w:pPr>
        <w:autoSpaceDE w:val="0"/>
        <w:autoSpaceDN w:val="0"/>
        <w:adjustRightInd w:val="0"/>
        <w:spacing w:after="0" w:line="240" w:lineRule="auto"/>
        <w:ind w:right="-1" w:hanging="460"/>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набувачі меценатської допомоги;</w:t>
      </w:r>
    </w:p>
    <w:p w:rsidR="005A4263" w:rsidRPr="005A4263" w:rsidRDefault="005A4263" w:rsidP="005A4263">
      <w:pPr>
        <w:autoSpaceDE w:val="0"/>
        <w:autoSpaceDN w:val="0"/>
        <w:adjustRightInd w:val="0"/>
        <w:spacing w:after="0" w:line="240" w:lineRule="auto"/>
        <w:ind w:right="-1"/>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кінцеві бенефіціари.</w:t>
      </w:r>
    </w:p>
    <w:p w:rsidR="005A4263" w:rsidRPr="005A4263" w:rsidRDefault="005A4263" w:rsidP="005A4263">
      <w:pPr>
        <w:autoSpaceDE w:val="0"/>
        <w:autoSpaceDN w:val="0"/>
        <w:adjustRightInd w:val="0"/>
        <w:spacing w:after="0" w:line="240" w:lineRule="auto"/>
        <w:ind w:right="-1"/>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3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4. Органи державної влади та органи місцевого самоврядування не мають права здійснювати меценатство у спорті та/або бути набувачами меценатської допомоги та кінцевими бенефіціарами.</w:t>
      </w:r>
    </w:p>
    <w:p w:rsidR="005A4263" w:rsidRPr="005A4263" w:rsidRDefault="005A4263" w:rsidP="005A4263">
      <w:pPr>
        <w:autoSpaceDE w:val="0"/>
        <w:autoSpaceDN w:val="0"/>
        <w:adjustRightInd w:val="0"/>
        <w:spacing w:after="0" w:line="240" w:lineRule="auto"/>
        <w:ind w:right="-1" w:firstLine="63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3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5. Органи державної влади та органи місцевого самоврядування не можуть перешкоджати суб’єктам меценатської діяльності у виборі видів та напрямів меценатства у спорті.</w:t>
      </w:r>
    </w:p>
    <w:p w:rsidR="005A4263" w:rsidRPr="005A4263" w:rsidRDefault="005A4263" w:rsidP="005A4263">
      <w:pPr>
        <w:autoSpaceDE w:val="0"/>
        <w:autoSpaceDN w:val="0"/>
        <w:adjustRightInd w:val="0"/>
        <w:spacing w:after="0" w:line="240" w:lineRule="auto"/>
        <w:ind w:right="-1" w:firstLine="63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3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lastRenderedPageBreak/>
        <w:t>6. Перелік видів та напрямів меценатства, зазначених у цій статті, не є вичерпним і може включати будь-які інші види та напрями меценатства, не заборонені законодавством.</w:t>
      </w:r>
    </w:p>
    <w:p w:rsidR="005A4263" w:rsidRPr="005A4263" w:rsidRDefault="005A4263" w:rsidP="005A4263">
      <w:pPr>
        <w:autoSpaceDE w:val="0"/>
        <w:autoSpaceDN w:val="0"/>
        <w:adjustRightInd w:val="0"/>
        <w:spacing w:after="0" w:line="240" w:lineRule="auto"/>
        <w:ind w:right="-1" w:firstLine="63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3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7. Меценатська допомога не впливає на обсяги фінансової підтримки набувачів меценатської допомоги та фінансове забезпечення кінцевих бенефіціарів меценатської допомоги, що здійснюється з бюджетів різного рівня. </w:t>
      </w:r>
    </w:p>
    <w:p w:rsidR="005A4263" w:rsidRPr="005A4263" w:rsidRDefault="005A4263" w:rsidP="005A4263">
      <w:pPr>
        <w:autoSpaceDE w:val="0"/>
        <w:autoSpaceDN w:val="0"/>
        <w:adjustRightInd w:val="0"/>
        <w:spacing w:after="0" w:line="240" w:lineRule="auto"/>
        <w:ind w:right="-1" w:firstLine="63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Стаття 5. Істотні умови та форма договору між меценатом спорту та набувачем меценатської допомоги</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Меценатство здійснюється виключно на підставі договору між меценатом спорту та набувачем меценатської допомоги або між меценатом спорту, набувачем меценатської допомоги та кінцевим бенефіціаром, укладеного в письмовій формі відповідно до вимог, визначених Цивільним кодексом України та цим Законом.</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Істотними умовами договору між меценатом спорту та набувачем меценатської допомоги або між меценатом спорту, набувачем меценатської допомоги та кінцевим бенефіціаром є: види та напрями меценатської допомоги, обсяг меценатської допомоги, строк надання меценатської допомоги, порядок здійснення контролю набувачем меценатської допомоги дотримання кінцевим бенефіціаром умов договору та законодавства про меценатство у спорті щодо використання меценатської допомоги, а в разі надання цільової меценатської допомоги – строки досягнення цілей меценатської допомоги.</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За домовленістю мецената спорту та набувача меценатської допомоги або мецената спорту, набувача меценатської допомоги та кінцевого бенефіціара договором можуть бути встановлені додаткові права та обов’язки сторін, умови, у тому числі відкладальні, надання меценатської допомоги.</w:t>
      </w:r>
    </w:p>
    <w:p w:rsidR="005A4263" w:rsidRPr="005A4263" w:rsidRDefault="005A4263" w:rsidP="005A4263">
      <w:pPr>
        <w:autoSpaceDE w:val="0"/>
        <w:autoSpaceDN w:val="0"/>
        <w:adjustRightInd w:val="0"/>
        <w:spacing w:after="0" w:line="240" w:lineRule="auto"/>
        <w:ind w:right="-1"/>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40"/>
        <w:jc w:val="center"/>
        <w:rPr>
          <w:rFonts w:ascii="Times New Roman" w:eastAsia="Calibri" w:hAnsi="Times New Roman"/>
          <w:sz w:val="28"/>
          <w:szCs w:val="28"/>
          <w:lang w:val="ru-RU" w:eastAsia="uk-UA"/>
        </w:rPr>
      </w:pPr>
      <w:r w:rsidRPr="005A4263">
        <w:rPr>
          <w:rFonts w:ascii="Times New Roman" w:eastAsia="Calibri" w:hAnsi="Times New Roman"/>
          <w:b/>
          <w:bCs/>
          <w:sz w:val="28"/>
          <w:szCs w:val="28"/>
          <w:lang w:val="ru-RU" w:eastAsia="uk-UA"/>
        </w:rPr>
        <w:t>Стаття 6. Інформаційне забезпечення меценатства</w:t>
      </w:r>
    </w:p>
    <w:p w:rsidR="005A4263" w:rsidRPr="005A4263" w:rsidRDefault="005A4263" w:rsidP="005A4263">
      <w:pPr>
        <w:autoSpaceDE w:val="0"/>
        <w:autoSpaceDN w:val="0"/>
        <w:adjustRightInd w:val="0"/>
        <w:spacing w:after="0" w:line="240" w:lineRule="auto"/>
        <w:ind w:right="-1"/>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Набувачі меценатської допомоги та кінцеві бенефіціари мають право розміщувати торговельну марку, логотип, інше позначення мецената спорту, з яким у них укладено договір, на будь-якій рекламі, пов’язаній із діяльністю набувача меценатської допомоги та/або кінцевого бенефіціара.</w:t>
      </w: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Особливості використання позначення мецената спорту на рекламі набувача меценатської допомоги та/або кінцевого бенефіціара можуть встановлюватись у договорі між меценатом спорту та набувачем меценатської допомоги або між меценатом спорту, набувачем меценатської допомоги та кінцевим бенефіціаром.</w:t>
      </w: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Розміщення торговельної марки, логотипу, іншого позначення мецената спорту на рекламі набувача меценатської допомоги та кінцевого бенефіціара відповідно до цього Закону не вважається рекламою мецената спорту або його товару чи послуги в розумінні Закону України «Про рекламу».</w:t>
      </w: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54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lastRenderedPageBreak/>
        <w:t>4. Розміщення інформації про мецената під час підготовки та проведення офіційних спортивних заходів прирівнюється до соціальної реклами.</w:t>
      </w:r>
    </w:p>
    <w:p w:rsidR="005A4263" w:rsidRPr="005A4263" w:rsidRDefault="005A4263" w:rsidP="005A4263">
      <w:pPr>
        <w:autoSpaceDE w:val="0"/>
        <w:autoSpaceDN w:val="0"/>
        <w:adjustRightInd w:val="0"/>
        <w:spacing w:after="240" w:line="240" w:lineRule="auto"/>
        <w:ind w:right="-1"/>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240" w:line="240" w:lineRule="auto"/>
        <w:ind w:right="-1"/>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Стаття 7. Контроль та відповідальність у сфері меценатства</w:t>
      </w:r>
    </w:p>
    <w:p w:rsidR="005A4263" w:rsidRPr="005A4263" w:rsidRDefault="005A4263" w:rsidP="005A4263">
      <w:pPr>
        <w:autoSpaceDE w:val="0"/>
        <w:autoSpaceDN w:val="0"/>
        <w:adjustRightInd w:val="0"/>
        <w:spacing w:after="24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Контроль дотримання кінцевими бенефіціарами вимог укладених ними договорів та законодавства про меценатство у спорті щодо використання меценатської допомоги, в тому числі ефективного використання фінансових ресурсів (коштів) на підготовку спортсменів та їх участі у офіційних спортивних змаганнях, здійснюється набувачами меценатської допомоги відповідно до умов укладених за їх участі договорів, в тому числі шляхом використання програмного забезпечення оцінки стану спортсмена та його спортивних результатів.</w:t>
      </w:r>
    </w:p>
    <w:p w:rsidR="005A4263" w:rsidRPr="005A4263" w:rsidRDefault="005A4263" w:rsidP="005A4263">
      <w:pPr>
        <w:autoSpaceDE w:val="0"/>
        <w:autoSpaceDN w:val="0"/>
        <w:adjustRightInd w:val="0"/>
        <w:spacing w:after="24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Державний контроль у сфері меценатства у спорті здійснюють органи виконавчої влади та органи місцевого самоврядування в межах своїх повноважень, визначених законом.</w:t>
      </w:r>
    </w:p>
    <w:p w:rsidR="005A4263" w:rsidRPr="005A4263" w:rsidRDefault="005A4263" w:rsidP="005A4263">
      <w:pPr>
        <w:autoSpaceDE w:val="0"/>
        <w:autoSpaceDN w:val="0"/>
        <w:adjustRightInd w:val="0"/>
        <w:spacing w:after="240" w:line="240" w:lineRule="auto"/>
        <w:ind w:right="-1" w:firstLine="567"/>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Суб’єкти меценатської діяльності і посадові особи органів виконавчої влади та органів місцевого самоврядування несуть цивільно-правову, адміністративну, дисциплінарну та кримінальну відповідальність за порушення законодавства про меценатство у спорті в порядку, встановленому законом.</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sz w:val="28"/>
          <w:szCs w:val="28"/>
          <w:lang w:val="ru-RU" w:eastAsia="uk-UA"/>
        </w:rPr>
      </w:pPr>
      <w:r w:rsidRPr="005A4263">
        <w:rPr>
          <w:rFonts w:ascii="Times New Roman" w:eastAsia="Calibri" w:hAnsi="Times New Roman"/>
          <w:b/>
          <w:bCs/>
          <w:sz w:val="28"/>
          <w:szCs w:val="28"/>
          <w:lang w:val="ru-RU" w:eastAsia="uk-UA"/>
        </w:rPr>
        <w:t>Розділ ІІІ</w:t>
      </w:r>
    </w:p>
    <w:p w:rsidR="005A4263" w:rsidRPr="005A4263" w:rsidRDefault="005A4263" w:rsidP="005A4263">
      <w:pPr>
        <w:autoSpaceDE w:val="0"/>
        <w:autoSpaceDN w:val="0"/>
        <w:adjustRightInd w:val="0"/>
        <w:spacing w:after="0" w:line="240" w:lineRule="auto"/>
        <w:ind w:right="-1" w:firstLine="600"/>
        <w:jc w:val="center"/>
        <w:rPr>
          <w:rFonts w:ascii="Times New Roman" w:eastAsia="Calibri" w:hAnsi="Times New Roman"/>
          <w:b/>
          <w:bCs/>
          <w:sz w:val="28"/>
          <w:szCs w:val="28"/>
          <w:lang w:val="ru-RU" w:eastAsia="uk-UA"/>
        </w:rPr>
      </w:pPr>
      <w:r w:rsidRPr="005A4263">
        <w:rPr>
          <w:rFonts w:ascii="Times New Roman" w:eastAsia="Calibri" w:hAnsi="Times New Roman"/>
          <w:b/>
          <w:bCs/>
          <w:sz w:val="28"/>
          <w:szCs w:val="28"/>
          <w:lang w:val="ru-RU" w:eastAsia="uk-UA"/>
        </w:rPr>
        <w:t>ПРИКІНЦЕВІ ТА ПЕРЕХІДНІ ПОЛОЖЕННЯ</w:t>
      </w:r>
    </w:p>
    <w:p w:rsidR="005A4263" w:rsidRPr="005A4263" w:rsidRDefault="005A4263" w:rsidP="005A4263">
      <w:pPr>
        <w:autoSpaceDE w:val="0"/>
        <w:autoSpaceDN w:val="0"/>
        <w:adjustRightInd w:val="0"/>
        <w:spacing w:after="0" w:line="240" w:lineRule="auto"/>
        <w:ind w:right="-1" w:firstLine="600"/>
        <w:rPr>
          <w:rFonts w:ascii="Times New Roman" w:eastAsia="Calibri" w:hAnsi="Times New Roman"/>
          <w:b/>
          <w:bCs/>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Цей Закон набирає чинності з дня, наступного за днем його опублікування.</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Внести до Закону України «Про рекламу» (Відомості Верховної Ради України, 2004 р., № 8, ст. 62; 2008 р., № 18, ст.197;2011 р., № 23, ст. 160) такі зміни:</w:t>
      </w: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pStyle w:val="a6"/>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У статті 9:</w:t>
      </w: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708"/>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доповнити після частини шостої новою частиною сьомою такого змісту:</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«7. Розміщення торговельної марки, логотипу, іншого позначення мецената спорту на рекламі набувача меценатської допомоги та / або кінцевого бенефіціара відповідно до Закону України «Про меценатство у фізичній культурі і спорті» не вважається рекламою мецената спорту або його товару чи послуги.»</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709"/>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У статті 12:</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частину другу викласти в наступній редакції:</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 xml:space="preserve">«2. Соціальна реклама не повинна містити посилань на конкретний товар та/або його виробника, на рекламодавця (за винятком випадків, коли рекламодавцем є громадська організація), на об'єкти права інтелектуальної власності, що належать виробнику товару або рекламодавцю соціальної реклами, </w:t>
      </w:r>
      <w:r w:rsidRPr="005A4263">
        <w:rPr>
          <w:rFonts w:ascii="Times New Roman" w:eastAsia="Calibri" w:hAnsi="Times New Roman"/>
          <w:sz w:val="28"/>
          <w:szCs w:val="28"/>
          <w:lang w:val="ru-RU" w:eastAsia="uk-UA"/>
        </w:rPr>
        <w:lastRenderedPageBreak/>
        <w:t>крім випадків розміщення інформації про мецената спорту під час підготовки та проведення офіційних спортивних заходів відповідно до Закону України «Про меценатство у фізичній культурі і спорті» та реклами національних фільмів.</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Інформація про мецената спорту під час підготовки та проведення офіційних спортивних заходів відповідно до Закону України «Про меценатство у фізичній культурі і спорті» та реклама національних фільмів прирівнюється до соціальної реклами та може розміщуватися і розповсюджуватися, за умови дотримання вимог, встановлених абзацом дванадцятим частини першої статті 8 цього Закону.»</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частину третю після слів «благодійної діяльності» доповнити словами «та меценатів спорту.»</w:t>
      </w: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частину четверту викласти в наступній редакції:</w:t>
      </w: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«4. Засоби масової інформації - розповсюджувачі реклами, діяльність яких повністю або частково фінансується з державного або місцевих бюджетів, зобов'язані розміщувати соціальну рекламу державних органів та органів місцевого самоврядування, громадських організацій безкоштовно в обсязі не менше 7 відсотків ефірного часу, друкованої площі, відведених для реклами, з яких не менше 2 відсотків - для меценатів спорту (про фізичну культуру і спорт).»</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3. Кабінету Міністрів України протягом шести місяців з дня набрання чинності цим Законом:</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1) привести свої нормативно-правові акти у відповідність із цим Законом;</w:t>
      </w:r>
    </w:p>
    <w:p w:rsidR="005A4263"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7D77EE" w:rsidRPr="005A4263" w:rsidRDefault="005A4263"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r w:rsidRPr="005A4263">
        <w:rPr>
          <w:rFonts w:ascii="Times New Roman" w:eastAsia="Calibri" w:hAnsi="Times New Roman"/>
          <w:sz w:val="28"/>
          <w:szCs w:val="28"/>
          <w:lang w:val="ru-RU" w:eastAsia="uk-UA"/>
        </w:rPr>
        <w:t>2) забезпечити перегляд і приведення міністерствами та іншими центральними та місцевими органами виконавчої влади їх нормативно-правових актів у відповідність із цим Законом.</w:t>
      </w:r>
    </w:p>
    <w:p w:rsidR="007D77EE" w:rsidRPr="005A4263" w:rsidRDefault="007D77EE"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7D77EE" w:rsidRPr="005A4263" w:rsidRDefault="007D77EE" w:rsidP="005A4263">
      <w:pPr>
        <w:autoSpaceDE w:val="0"/>
        <w:autoSpaceDN w:val="0"/>
        <w:adjustRightInd w:val="0"/>
        <w:spacing w:after="0" w:line="240" w:lineRule="auto"/>
        <w:ind w:right="-1" w:firstLine="600"/>
        <w:jc w:val="both"/>
        <w:rPr>
          <w:rFonts w:ascii="Times New Roman" w:eastAsia="Calibri" w:hAnsi="Times New Roman"/>
          <w:sz w:val="28"/>
          <w:szCs w:val="28"/>
          <w:lang w:val="ru-RU" w:eastAsia="uk-UA"/>
        </w:rPr>
      </w:pPr>
    </w:p>
    <w:p w:rsidR="003E0D15" w:rsidRPr="005A4263" w:rsidRDefault="003E0D15" w:rsidP="005A4263">
      <w:pPr>
        <w:spacing w:after="0" w:line="240" w:lineRule="auto"/>
        <w:ind w:right="-1" w:firstLine="709"/>
        <w:jc w:val="both"/>
        <w:rPr>
          <w:rFonts w:ascii="Times New Roman" w:hAnsi="Times New Roman"/>
          <w:sz w:val="28"/>
          <w:szCs w:val="28"/>
        </w:rPr>
      </w:pPr>
    </w:p>
    <w:p w:rsidR="003E0D15" w:rsidRPr="005A4263" w:rsidRDefault="003E0D15" w:rsidP="005A4263">
      <w:pPr>
        <w:spacing w:after="0" w:line="240" w:lineRule="auto"/>
        <w:ind w:right="-1" w:firstLine="709"/>
        <w:jc w:val="both"/>
        <w:rPr>
          <w:rFonts w:ascii="Times New Roman" w:hAnsi="Times New Roman"/>
          <w:sz w:val="28"/>
          <w:szCs w:val="28"/>
        </w:rPr>
      </w:pPr>
    </w:p>
    <w:p w:rsidR="00987942" w:rsidRPr="005A4263" w:rsidRDefault="00987942" w:rsidP="005A4263">
      <w:pPr>
        <w:spacing w:after="0" w:line="240" w:lineRule="auto"/>
        <w:ind w:right="-1" w:firstLine="709"/>
        <w:jc w:val="both"/>
        <w:rPr>
          <w:rFonts w:ascii="Times New Roman" w:hAnsi="Times New Roman"/>
          <w:sz w:val="28"/>
          <w:szCs w:val="28"/>
        </w:rPr>
      </w:pPr>
    </w:p>
    <w:p w:rsidR="007D77EE" w:rsidRPr="005A4263" w:rsidRDefault="007D77EE" w:rsidP="005A4263">
      <w:pPr>
        <w:spacing w:after="0" w:line="240" w:lineRule="auto"/>
        <w:ind w:right="-1" w:firstLine="709"/>
        <w:jc w:val="both"/>
        <w:rPr>
          <w:rFonts w:ascii="Times New Roman" w:hAnsi="Times New Roman"/>
          <w:sz w:val="28"/>
          <w:szCs w:val="28"/>
        </w:rPr>
      </w:pPr>
    </w:p>
    <w:p w:rsidR="003E0D15" w:rsidRPr="005A4263" w:rsidRDefault="003E0D15" w:rsidP="005A4263">
      <w:pPr>
        <w:spacing w:after="0" w:line="240" w:lineRule="auto"/>
        <w:ind w:right="-1"/>
        <w:rPr>
          <w:rFonts w:ascii="Times New Roman" w:hAnsi="Times New Roman"/>
          <w:b/>
          <w:sz w:val="28"/>
          <w:szCs w:val="28"/>
        </w:rPr>
      </w:pPr>
      <w:r w:rsidRPr="005A4263">
        <w:rPr>
          <w:rFonts w:ascii="Times New Roman" w:hAnsi="Times New Roman"/>
          <w:b/>
          <w:sz w:val="28"/>
          <w:szCs w:val="28"/>
        </w:rPr>
        <w:t>Голова</w:t>
      </w:r>
    </w:p>
    <w:p w:rsidR="003E0D15" w:rsidRPr="005A4263" w:rsidRDefault="003E0D15" w:rsidP="005A4263">
      <w:pPr>
        <w:spacing w:after="0" w:line="240" w:lineRule="auto"/>
        <w:ind w:right="-1"/>
        <w:rPr>
          <w:rFonts w:ascii="Times New Roman" w:hAnsi="Times New Roman"/>
          <w:b/>
          <w:sz w:val="28"/>
          <w:szCs w:val="28"/>
          <w:lang w:val="ru-RU"/>
        </w:rPr>
      </w:pPr>
      <w:r w:rsidRPr="005A4263">
        <w:rPr>
          <w:rFonts w:ascii="Times New Roman" w:hAnsi="Times New Roman"/>
          <w:b/>
          <w:sz w:val="28"/>
          <w:szCs w:val="28"/>
        </w:rPr>
        <w:t>Верховної Ради України</w:t>
      </w:r>
      <w:r w:rsidR="00E47CE7" w:rsidRPr="005A4263">
        <w:rPr>
          <w:rFonts w:ascii="Times New Roman" w:hAnsi="Times New Roman"/>
          <w:b/>
          <w:sz w:val="28"/>
          <w:szCs w:val="28"/>
          <w:lang w:val="ru-RU"/>
        </w:rPr>
        <w:tab/>
      </w:r>
      <w:r w:rsidR="00E47CE7" w:rsidRPr="005A4263">
        <w:rPr>
          <w:rFonts w:ascii="Times New Roman" w:hAnsi="Times New Roman"/>
          <w:b/>
          <w:sz w:val="28"/>
          <w:szCs w:val="28"/>
          <w:lang w:val="ru-RU"/>
        </w:rPr>
        <w:tab/>
      </w:r>
      <w:r w:rsidR="00E47CE7" w:rsidRPr="005A4263">
        <w:rPr>
          <w:rFonts w:ascii="Times New Roman" w:hAnsi="Times New Roman"/>
          <w:b/>
          <w:sz w:val="28"/>
          <w:szCs w:val="28"/>
          <w:lang w:val="ru-RU"/>
        </w:rPr>
        <w:tab/>
      </w:r>
      <w:r w:rsidR="00E47CE7" w:rsidRPr="005A4263">
        <w:rPr>
          <w:rFonts w:ascii="Times New Roman" w:hAnsi="Times New Roman"/>
          <w:b/>
          <w:sz w:val="28"/>
          <w:szCs w:val="28"/>
          <w:lang w:val="ru-RU"/>
        </w:rPr>
        <w:tab/>
      </w:r>
      <w:r w:rsidR="00E47CE7" w:rsidRPr="005A4263">
        <w:rPr>
          <w:rFonts w:ascii="Times New Roman" w:hAnsi="Times New Roman"/>
          <w:b/>
          <w:sz w:val="28"/>
          <w:szCs w:val="28"/>
          <w:lang w:val="ru-RU"/>
        </w:rPr>
        <w:tab/>
      </w:r>
      <w:r w:rsidR="00E47CE7" w:rsidRPr="005A4263">
        <w:rPr>
          <w:rFonts w:ascii="Times New Roman" w:hAnsi="Times New Roman"/>
          <w:b/>
          <w:sz w:val="28"/>
          <w:szCs w:val="28"/>
          <w:lang w:val="ru-RU"/>
        </w:rPr>
        <w:tab/>
        <w:t xml:space="preserve">              </w:t>
      </w:r>
      <w:r w:rsidR="00E47CE7" w:rsidRPr="005A4263">
        <w:rPr>
          <w:rFonts w:ascii="Times New Roman" w:hAnsi="Times New Roman"/>
          <w:b/>
          <w:bCs/>
          <w:kern w:val="1"/>
          <w:sz w:val="28"/>
          <w:szCs w:val="28"/>
        </w:rPr>
        <w:t>Д.О. Разумков</w:t>
      </w:r>
    </w:p>
    <w:sectPr w:rsidR="003E0D15" w:rsidRPr="005A4263" w:rsidSect="009152AF">
      <w:pgSz w:w="11906" w:h="16838"/>
      <w:pgMar w:top="851"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BF5" w:rsidRDefault="005A2BF5" w:rsidP="00E43E32">
      <w:pPr>
        <w:spacing w:after="0" w:line="240" w:lineRule="auto"/>
      </w:pPr>
      <w:r>
        <w:separator/>
      </w:r>
    </w:p>
  </w:endnote>
  <w:endnote w:type="continuationSeparator" w:id="0">
    <w:p w:rsidR="005A2BF5" w:rsidRDefault="005A2BF5" w:rsidP="00E43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BF5" w:rsidRDefault="005A2BF5" w:rsidP="00E43E32">
      <w:pPr>
        <w:spacing w:after="0" w:line="240" w:lineRule="auto"/>
      </w:pPr>
      <w:r>
        <w:separator/>
      </w:r>
    </w:p>
  </w:footnote>
  <w:footnote w:type="continuationSeparator" w:id="0">
    <w:p w:rsidR="005A2BF5" w:rsidRDefault="005A2BF5" w:rsidP="00E43E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BE26FDB"/>
    <w:multiLevelType w:val="hybridMultilevel"/>
    <w:tmpl w:val="CCAEA438"/>
    <w:lvl w:ilvl="0" w:tplc="0CE634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035"/>
    <w:rsid w:val="00062F3E"/>
    <w:rsid w:val="0007110F"/>
    <w:rsid w:val="00144633"/>
    <w:rsid w:val="00182B65"/>
    <w:rsid w:val="001838EE"/>
    <w:rsid w:val="0019410F"/>
    <w:rsid w:val="001C68CE"/>
    <w:rsid w:val="001D5F89"/>
    <w:rsid w:val="001E124D"/>
    <w:rsid w:val="00243A71"/>
    <w:rsid w:val="002A2AC8"/>
    <w:rsid w:val="002B2B1F"/>
    <w:rsid w:val="002E4871"/>
    <w:rsid w:val="003E0D15"/>
    <w:rsid w:val="003F1E63"/>
    <w:rsid w:val="00406CBA"/>
    <w:rsid w:val="00455F63"/>
    <w:rsid w:val="004C0094"/>
    <w:rsid w:val="004C4D76"/>
    <w:rsid w:val="004D3C70"/>
    <w:rsid w:val="005A2BF5"/>
    <w:rsid w:val="005A4263"/>
    <w:rsid w:val="005B7A1B"/>
    <w:rsid w:val="006224F5"/>
    <w:rsid w:val="00634267"/>
    <w:rsid w:val="00681773"/>
    <w:rsid w:val="006C6C82"/>
    <w:rsid w:val="006F6709"/>
    <w:rsid w:val="00755DB6"/>
    <w:rsid w:val="00791D76"/>
    <w:rsid w:val="007D77EE"/>
    <w:rsid w:val="00872EB9"/>
    <w:rsid w:val="008918A7"/>
    <w:rsid w:val="008E44CB"/>
    <w:rsid w:val="009152AF"/>
    <w:rsid w:val="00987942"/>
    <w:rsid w:val="00987B21"/>
    <w:rsid w:val="00995EB5"/>
    <w:rsid w:val="009A74DB"/>
    <w:rsid w:val="00A34E64"/>
    <w:rsid w:val="00B838F0"/>
    <w:rsid w:val="00C255D1"/>
    <w:rsid w:val="00C95E18"/>
    <w:rsid w:val="00D44999"/>
    <w:rsid w:val="00D91432"/>
    <w:rsid w:val="00D9380E"/>
    <w:rsid w:val="00DF08CE"/>
    <w:rsid w:val="00E40501"/>
    <w:rsid w:val="00E43E32"/>
    <w:rsid w:val="00E47CE7"/>
    <w:rsid w:val="00EA07AE"/>
    <w:rsid w:val="00EB0BDC"/>
    <w:rsid w:val="00EC6E62"/>
    <w:rsid w:val="00F07035"/>
    <w:rsid w:val="00FC151A"/>
    <w:rsid w:val="00FF29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D15"/>
    <w:pPr>
      <w:spacing w:after="160" w:line="259"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E124D"/>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basedOn w:val="a0"/>
    <w:rsid w:val="00DF08CE"/>
  </w:style>
  <w:style w:type="character" w:styleId="a3">
    <w:name w:val="annotation reference"/>
    <w:uiPriority w:val="99"/>
    <w:semiHidden/>
    <w:unhideWhenUsed/>
    <w:rsid w:val="00DF08CE"/>
    <w:rPr>
      <w:sz w:val="16"/>
      <w:szCs w:val="16"/>
    </w:rPr>
  </w:style>
  <w:style w:type="paragraph" w:styleId="a4">
    <w:name w:val="annotation text"/>
    <w:basedOn w:val="a"/>
    <w:link w:val="a5"/>
    <w:uiPriority w:val="99"/>
    <w:semiHidden/>
    <w:unhideWhenUsed/>
    <w:rsid w:val="00DF08CE"/>
    <w:pPr>
      <w:spacing w:line="240" w:lineRule="auto"/>
    </w:pPr>
    <w:rPr>
      <w:rFonts w:eastAsia="Calibri"/>
      <w:sz w:val="20"/>
      <w:szCs w:val="20"/>
    </w:rPr>
  </w:style>
  <w:style w:type="character" w:customStyle="1" w:styleId="a5">
    <w:name w:val="Текст примітки Знак"/>
    <w:link w:val="a4"/>
    <w:uiPriority w:val="99"/>
    <w:semiHidden/>
    <w:rsid w:val="00DF08CE"/>
    <w:rPr>
      <w:sz w:val="20"/>
      <w:szCs w:val="20"/>
      <w:lang w:val="uk-UA"/>
    </w:rPr>
  </w:style>
  <w:style w:type="paragraph" w:styleId="a6">
    <w:name w:val="List Paragraph"/>
    <w:basedOn w:val="a"/>
    <w:uiPriority w:val="34"/>
    <w:qFormat/>
    <w:rsid w:val="00C255D1"/>
    <w:pPr>
      <w:ind w:left="720"/>
      <w:contextualSpacing/>
    </w:pPr>
  </w:style>
  <w:style w:type="character" w:styleId="a7">
    <w:name w:val="Hyperlink"/>
    <w:uiPriority w:val="99"/>
    <w:semiHidden/>
    <w:unhideWhenUsed/>
    <w:rsid w:val="001D5F89"/>
    <w:rPr>
      <w:color w:val="0000FF"/>
      <w:u w:val="single"/>
    </w:rPr>
  </w:style>
  <w:style w:type="paragraph" w:styleId="a8">
    <w:name w:val="Balloon Text"/>
    <w:basedOn w:val="a"/>
    <w:link w:val="a9"/>
    <w:uiPriority w:val="99"/>
    <w:semiHidden/>
    <w:unhideWhenUsed/>
    <w:rsid w:val="00C95E18"/>
    <w:pPr>
      <w:spacing w:after="0" w:line="240" w:lineRule="auto"/>
    </w:pPr>
    <w:rPr>
      <w:rFonts w:ascii="Segoe UI" w:hAnsi="Segoe UI" w:cs="Segoe UI"/>
      <w:sz w:val="18"/>
      <w:szCs w:val="18"/>
    </w:rPr>
  </w:style>
  <w:style w:type="character" w:customStyle="1" w:styleId="a9">
    <w:name w:val="Текст у виносці Знак"/>
    <w:link w:val="a8"/>
    <w:uiPriority w:val="99"/>
    <w:semiHidden/>
    <w:rsid w:val="00C95E18"/>
    <w:rPr>
      <w:rFonts w:ascii="Segoe UI" w:eastAsia="Times New Roman" w:hAnsi="Segoe UI" w:cs="Segoe UI"/>
      <w:sz w:val="18"/>
      <w:szCs w:val="18"/>
      <w:lang w:val="uk-UA"/>
    </w:rPr>
  </w:style>
  <w:style w:type="paragraph" w:styleId="aa">
    <w:name w:val="header"/>
    <w:basedOn w:val="a"/>
    <w:link w:val="ab"/>
    <w:uiPriority w:val="99"/>
    <w:unhideWhenUsed/>
    <w:rsid w:val="00E43E32"/>
    <w:pPr>
      <w:tabs>
        <w:tab w:val="center" w:pos="4677"/>
        <w:tab w:val="right" w:pos="9355"/>
      </w:tabs>
      <w:spacing w:after="0" w:line="240" w:lineRule="auto"/>
    </w:pPr>
  </w:style>
  <w:style w:type="character" w:customStyle="1" w:styleId="ab">
    <w:name w:val="Верхній колонтитул Знак"/>
    <w:basedOn w:val="a0"/>
    <w:link w:val="aa"/>
    <w:uiPriority w:val="99"/>
    <w:rsid w:val="00E43E32"/>
    <w:rPr>
      <w:rFonts w:eastAsia="Times New Roman"/>
      <w:sz w:val="22"/>
      <w:szCs w:val="22"/>
      <w:lang w:eastAsia="en-US"/>
    </w:rPr>
  </w:style>
  <w:style w:type="paragraph" w:styleId="ac">
    <w:name w:val="footer"/>
    <w:basedOn w:val="a"/>
    <w:link w:val="ad"/>
    <w:uiPriority w:val="99"/>
    <w:unhideWhenUsed/>
    <w:rsid w:val="00E43E32"/>
    <w:pPr>
      <w:tabs>
        <w:tab w:val="center" w:pos="4677"/>
        <w:tab w:val="right" w:pos="9355"/>
      </w:tabs>
      <w:spacing w:after="0" w:line="240" w:lineRule="auto"/>
    </w:pPr>
  </w:style>
  <w:style w:type="character" w:customStyle="1" w:styleId="ad">
    <w:name w:val="Нижній колонтитул Знак"/>
    <w:basedOn w:val="a0"/>
    <w:link w:val="ac"/>
    <w:uiPriority w:val="99"/>
    <w:rsid w:val="00E43E32"/>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184254">
      <w:bodyDiv w:val="1"/>
      <w:marLeft w:val="0"/>
      <w:marRight w:val="0"/>
      <w:marTop w:val="0"/>
      <w:marBottom w:val="0"/>
      <w:divBdr>
        <w:top w:val="none" w:sz="0" w:space="0" w:color="auto"/>
        <w:left w:val="none" w:sz="0" w:space="0" w:color="auto"/>
        <w:bottom w:val="none" w:sz="0" w:space="0" w:color="auto"/>
        <w:right w:val="none" w:sz="0" w:space="0" w:color="auto"/>
      </w:divBdr>
    </w:div>
    <w:div w:id="175821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078A85-B7A3-4EC0-BED4-707F15EC1812}">
  <ds:schemaRefs>
    <ds:schemaRef ds:uri="http://schemas.microsoft.com/sharepoint/v3/contenttype/forms"/>
  </ds:schemaRefs>
</ds:datastoreItem>
</file>

<file path=customXml/itemProps2.xml><?xml version="1.0" encoding="utf-8"?>
<ds:datastoreItem xmlns:ds="http://schemas.openxmlformats.org/officeDocument/2006/customXml" ds:itemID="{B92CD3E1-A7A7-4F87-9F19-A230FC8D3A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DA953D-346E-40A3-82FE-1F45481EAF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7821</Words>
  <Characters>4459</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2020-05-14T08:54:00Z</dcterms:created>
  <dcterms:modified xsi:type="dcterms:W3CDTF">2020-05-14T08:54:00Z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