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56031" w14:textId="77777777" w:rsidR="00B41622" w:rsidRPr="00184B69" w:rsidRDefault="00B41622" w:rsidP="00B41622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84B69">
        <w:rPr>
          <w:b/>
          <w:sz w:val="28"/>
          <w:szCs w:val="28"/>
          <w:lang w:val="uk-UA"/>
        </w:rPr>
        <w:t>Порівняльна таблиця</w:t>
      </w:r>
    </w:p>
    <w:p w14:paraId="15E81697" w14:textId="77777777" w:rsidR="00B41622" w:rsidRPr="00184B69" w:rsidRDefault="00B41622" w:rsidP="00B41622">
      <w:pPr>
        <w:jc w:val="center"/>
        <w:rPr>
          <w:b/>
          <w:sz w:val="28"/>
          <w:szCs w:val="28"/>
          <w:lang w:val="uk-UA"/>
        </w:rPr>
      </w:pPr>
      <w:r w:rsidRPr="00184B69">
        <w:rPr>
          <w:b/>
          <w:sz w:val="28"/>
          <w:szCs w:val="28"/>
          <w:lang w:val="uk-UA"/>
        </w:rPr>
        <w:t xml:space="preserve">до проекту Закону України </w:t>
      </w:r>
      <w:r w:rsidR="001C3453" w:rsidRPr="00184B69">
        <w:rPr>
          <w:b/>
          <w:sz w:val="28"/>
          <w:szCs w:val="28"/>
          <w:lang w:val="uk-UA"/>
        </w:rPr>
        <w:t>«</w:t>
      </w:r>
      <w:r w:rsidRPr="00184B69">
        <w:rPr>
          <w:b/>
          <w:sz w:val="28"/>
          <w:szCs w:val="28"/>
          <w:lang w:val="uk-UA"/>
        </w:rPr>
        <w:t>Про Фонд часткового гарантування</w:t>
      </w:r>
    </w:p>
    <w:p w14:paraId="03B749B8" w14:textId="77777777" w:rsidR="00F55C1D" w:rsidRPr="00184B69" w:rsidRDefault="00B53299" w:rsidP="00B41622">
      <w:pPr>
        <w:jc w:val="center"/>
        <w:rPr>
          <w:b/>
          <w:sz w:val="28"/>
          <w:szCs w:val="28"/>
          <w:lang w:val="uk-UA"/>
        </w:rPr>
      </w:pPr>
      <w:r w:rsidRPr="00184B69">
        <w:rPr>
          <w:b/>
          <w:sz w:val="28"/>
          <w:szCs w:val="28"/>
          <w:lang w:val="uk-UA"/>
        </w:rPr>
        <w:t>кредитів в</w:t>
      </w:r>
      <w:r w:rsidR="00B41622" w:rsidRPr="00184B69">
        <w:rPr>
          <w:b/>
          <w:sz w:val="28"/>
          <w:szCs w:val="28"/>
          <w:lang w:val="uk-UA"/>
        </w:rPr>
        <w:t xml:space="preserve"> сільському господарстві</w:t>
      </w:r>
      <w:r w:rsidR="001C3453" w:rsidRPr="00184B69">
        <w:rPr>
          <w:b/>
          <w:sz w:val="28"/>
          <w:szCs w:val="28"/>
          <w:lang w:val="uk-UA"/>
        </w:rPr>
        <w:t>»</w:t>
      </w:r>
    </w:p>
    <w:p w14:paraId="2993C76D" w14:textId="77777777" w:rsidR="001564C4" w:rsidRPr="0068657C" w:rsidRDefault="001564C4" w:rsidP="00B41622">
      <w:pPr>
        <w:jc w:val="center"/>
        <w:rPr>
          <w:b/>
          <w:sz w:val="32"/>
          <w:szCs w:val="32"/>
          <w:lang w:val="uk-UA"/>
        </w:rPr>
      </w:pP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394"/>
        <w:gridCol w:w="7394"/>
      </w:tblGrid>
      <w:tr w:rsidR="00C96F0F" w:rsidRPr="009037C6" w14:paraId="6992F3D2" w14:textId="77777777" w:rsidTr="00B85008">
        <w:trPr>
          <w:tblHeader/>
          <w:jc w:val="center"/>
        </w:trPr>
        <w:tc>
          <w:tcPr>
            <w:tcW w:w="2500" w:type="pct"/>
          </w:tcPr>
          <w:p w14:paraId="4E780A6A" w14:textId="77777777" w:rsidR="00C96F0F" w:rsidRPr="009037C6" w:rsidRDefault="00C96F0F" w:rsidP="0010704E">
            <w:pPr>
              <w:widowControl w:val="0"/>
              <w:ind w:firstLine="430"/>
              <w:jc w:val="center"/>
              <w:rPr>
                <w:sz w:val="28"/>
                <w:szCs w:val="28"/>
              </w:rPr>
            </w:pPr>
            <w:r w:rsidRPr="009037C6">
              <w:rPr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2500" w:type="pct"/>
          </w:tcPr>
          <w:p w14:paraId="6E345AF9" w14:textId="77777777" w:rsidR="00C96F0F" w:rsidRPr="009037C6" w:rsidRDefault="00C96F0F" w:rsidP="0010704E">
            <w:pPr>
              <w:widowControl w:val="0"/>
              <w:ind w:firstLine="430"/>
              <w:jc w:val="center"/>
              <w:rPr>
                <w:sz w:val="28"/>
                <w:szCs w:val="28"/>
              </w:rPr>
            </w:pPr>
            <w:r w:rsidRPr="009037C6">
              <w:rPr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C96F0F" w:rsidRPr="009037C6" w14:paraId="41DC6216" w14:textId="77777777" w:rsidTr="00E849D0">
        <w:trPr>
          <w:jc w:val="center"/>
        </w:trPr>
        <w:tc>
          <w:tcPr>
            <w:tcW w:w="5000" w:type="pct"/>
            <w:gridSpan w:val="2"/>
          </w:tcPr>
          <w:p w14:paraId="45A0B8BF" w14:textId="77B94FAB" w:rsidR="00C96F0F" w:rsidRPr="009037C6" w:rsidRDefault="00790F4B" w:rsidP="0010704E">
            <w:pPr>
              <w:widowControl w:val="0"/>
              <w:ind w:firstLine="430"/>
              <w:jc w:val="center"/>
              <w:rPr>
                <w:b/>
                <w:sz w:val="28"/>
                <w:szCs w:val="28"/>
              </w:rPr>
            </w:pPr>
            <w:r w:rsidRPr="00682B8C">
              <w:rPr>
                <w:rFonts w:hint="eastAsia"/>
                <w:sz w:val="28"/>
                <w:szCs w:val="28"/>
              </w:rPr>
              <w:t>Закон</w:t>
            </w:r>
            <w:r w:rsidRPr="00682B8C">
              <w:rPr>
                <w:sz w:val="28"/>
                <w:szCs w:val="28"/>
              </w:rPr>
              <w:t xml:space="preserve"> </w:t>
            </w:r>
            <w:r w:rsidRPr="00682B8C">
              <w:rPr>
                <w:rFonts w:hint="eastAsia"/>
                <w:sz w:val="28"/>
                <w:szCs w:val="28"/>
              </w:rPr>
              <w:t>України</w:t>
            </w:r>
            <w:r w:rsidRPr="00682B8C">
              <w:rPr>
                <w:sz w:val="28"/>
                <w:szCs w:val="28"/>
              </w:rPr>
              <w:t xml:space="preserve"> </w:t>
            </w:r>
            <w:r w:rsidRPr="00682B8C">
              <w:rPr>
                <w:rFonts w:hint="eastAsia"/>
                <w:sz w:val="28"/>
                <w:szCs w:val="28"/>
              </w:rPr>
              <w:t>«Про</w:t>
            </w:r>
            <w:r w:rsidRPr="00682B8C">
              <w:rPr>
                <w:sz w:val="28"/>
                <w:szCs w:val="28"/>
              </w:rPr>
              <w:t xml:space="preserve"> </w:t>
            </w:r>
            <w:r w:rsidRPr="00682B8C">
              <w:rPr>
                <w:rFonts w:hint="eastAsia"/>
                <w:sz w:val="28"/>
                <w:szCs w:val="28"/>
              </w:rPr>
              <w:t>управління</w:t>
            </w:r>
            <w:r w:rsidRPr="00682B8C">
              <w:rPr>
                <w:sz w:val="28"/>
                <w:szCs w:val="28"/>
              </w:rPr>
              <w:t xml:space="preserve"> </w:t>
            </w:r>
            <w:r w:rsidRPr="00682B8C">
              <w:rPr>
                <w:rFonts w:hint="eastAsia"/>
                <w:sz w:val="28"/>
                <w:szCs w:val="28"/>
              </w:rPr>
              <w:t>об</w:t>
            </w:r>
            <w:r w:rsidRPr="00682B8C">
              <w:rPr>
                <w:sz w:val="28"/>
                <w:szCs w:val="28"/>
              </w:rPr>
              <w:t>'</w:t>
            </w:r>
            <w:r w:rsidRPr="00682B8C">
              <w:rPr>
                <w:rFonts w:hint="eastAsia"/>
                <w:sz w:val="28"/>
                <w:szCs w:val="28"/>
              </w:rPr>
              <w:t>єктами</w:t>
            </w:r>
            <w:r w:rsidRPr="00682B8C">
              <w:rPr>
                <w:sz w:val="28"/>
                <w:szCs w:val="28"/>
              </w:rPr>
              <w:t xml:space="preserve"> </w:t>
            </w:r>
            <w:r w:rsidRPr="00682B8C">
              <w:rPr>
                <w:rFonts w:hint="eastAsia"/>
                <w:sz w:val="28"/>
                <w:szCs w:val="28"/>
              </w:rPr>
              <w:t>державної</w:t>
            </w:r>
            <w:r w:rsidRPr="00682B8C">
              <w:rPr>
                <w:sz w:val="28"/>
                <w:szCs w:val="28"/>
              </w:rPr>
              <w:t xml:space="preserve"> </w:t>
            </w:r>
            <w:r w:rsidRPr="00682B8C">
              <w:rPr>
                <w:rFonts w:hint="eastAsia"/>
                <w:sz w:val="28"/>
                <w:szCs w:val="28"/>
              </w:rPr>
              <w:t>власності»</w:t>
            </w:r>
          </w:p>
        </w:tc>
      </w:tr>
      <w:tr w:rsidR="00790F4B" w:rsidRPr="009037C6" w14:paraId="773708D7" w14:textId="77777777" w:rsidTr="00E849D0">
        <w:trPr>
          <w:jc w:val="center"/>
        </w:trPr>
        <w:tc>
          <w:tcPr>
            <w:tcW w:w="2500" w:type="pct"/>
          </w:tcPr>
          <w:p w14:paraId="68ABC8CF" w14:textId="77777777" w:rsidR="00790F4B" w:rsidRPr="00790F4B" w:rsidRDefault="00790F4B" w:rsidP="0010704E">
            <w:pPr>
              <w:widowControl w:val="0"/>
              <w:ind w:firstLine="43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90F4B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3.</w:t>
            </w:r>
            <w:r w:rsidRPr="00790F4B">
              <w:rPr>
                <w:color w:val="000000"/>
                <w:sz w:val="28"/>
                <w:szCs w:val="28"/>
                <w:shd w:val="clear" w:color="auto" w:fill="FFFFFF"/>
              </w:rPr>
              <w:t> Об'єкти управління державної власності</w:t>
            </w:r>
          </w:p>
          <w:p w14:paraId="574E54F9" w14:textId="77777777" w:rsidR="00790F4B" w:rsidRPr="00790F4B" w:rsidRDefault="00790F4B" w:rsidP="0010704E">
            <w:pPr>
              <w:widowControl w:val="0"/>
              <w:ind w:firstLine="430"/>
              <w:jc w:val="both"/>
              <w:rPr>
                <w:rStyle w:val="rvts9"/>
                <w:color w:val="000000"/>
                <w:sz w:val="28"/>
                <w:szCs w:val="28"/>
                <w:shd w:val="clear" w:color="auto" w:fill="FFFFFF"/>
              </w:rPr>
            </w:pPr>
            <w:r w:rsidRPr="00790F4B">
              <w:rPr>
                <w:rStyle w:val="rvts9"/>
                <w:color w:val="000000"/>
                <w:sz w:val="28"/>
                <w:szCs w:val="28"/>
                <w:shd w:val="clear" w:color="auto" w:fill="FFFFFF"/>
                <w:lang w:val="uk-UA"/>
              </w:rPr>
              <w:t>(…)</w:t>
            </w:r>
          </w:p>
          <w:p w14:paraId="7973E6A8" w14:textId="36FE83D2" w:rsidR="00790F4B" w:rsidRPr="00E15F89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790F4B">
              <w:rPr>
                <w:color w:val="000000"/>
                <w:sz w:val="28"/>
                <w:szCs w:val="28"/>
              </w:rPr>
              <w:t>2. Дія цього Закону не поширюється на управління об'єктами власності Українського народу, визначеними </w:t>
            </w:r>
            <w:r w:rsidRPr="009819E5">
              <w:rPr>
                <w:color w:val="000000"/>
                <w:sz w:val="28"/>
                <w:szCs w:val="28"/>
              </w:rPr>
              <w:t>частиною першою</w:t>
            </w:r>
            <w:r w:rsidRPr="00790F4B">
              <w:rPr>
                <w:color w:val="000000"/>
                <w:sz w:val="28"/>
                <w:szCs w:val="28"/>
              </w:rPr>
              <w:t> статті 13 Конституції України, а також на здійснення прав інтелектуальної власності та корпоративні права, що виникли внаслідок участі державних наукових (науково-дослідних, науково-технологічних, науково-технічних, науково-практичних) установ та державних університетів, академій, інститутів у створенні господарських товариств шляхом внесення до статутного капіталу такого товариства майнових прав інтелектуальної власності, що належать цим установам та навчальним закладам.</w:t>
            </w:r>
          </w:p>
          <w:p w14:paraId="2598AAC6" w14:textId="5F94F58E" w:rsidR="00790F4B" w:rsidRPr="00790F4B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color w:val="000000"/>
                <w:sz w:val="28"/>
                <w:szCs w:val="28"/>
              </w:rPr>
            </w:pPr>
            <w:bookmarkStart w:id="1" w:name="n26"/>
            <w:bookmarkStart w:id="2" w:name="n27"/>
            <w:bookmarkEnd w:id="1"/>
            <w:bookmarkEnd w:id="2"/>
            <w:r w:rsidRPr="00790F4B">
              <w:rPr>
                <w:color w:val="000000"/>
                <w:sz w:val="28"/>
                <w:szCs w:val="28"/>
              </w:rPr>
              <w:t>Особливості управління об'єктами державної власності в оборонно-промисловому комплексі визначаються Законом України "Про особливості управління об'єктами державної власності в оборонно-промисловому комплексі".</w:t>
            </w:r>
          </w:p>
          <w:p w14:paraId="5935E830" w14:textId="5BCD8CC3" w:rsidR="00790F4B" w:rsidRPr="00790F4B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color w:val="000000"/>
                <w:sz w:val="28"/>
                <w:szCs w:val="28"/>
              </w:rPr>
            </w:pPr>
            <w:bookmarkStart w:id="3" w:name="n28"/>
            <w:bookmarkStart w:id="4" w:name="n29"/>
            <w:bookmarkEnd w:id="3"/>
            <w:bookmarkEnd w:id="4"/>
            <w:r w:rsidRPr="00790F4B">
              <w:rPr>
                <w:color w:val="000000"/>
                <w:sz w:val="28"/>
                <w:szCs w:val="28"/>
              </w:rPr>
              <w:t xml:space="preserve">Особливості управління Експортно-кредитним агентством визначаються Законом України "Про забезпечення масштабної експансії експорту товарів (робіт, послуг) українського походження шляхом страхування, </w:t>
            </w:r>
            <w:r w:rsidRPr="00790F4B">
              <w:rPr>
                <w:color w:val="000000"/>
                <w:sz w:val="28"/>
                <w:szCs w:val="28"/>
              </w:rPr>
              <w:lastRenderedPageBreak/>
              <w:t>гарантування та здешевлення кредитування експорту".</w:t>
            </w:r>
          </w:p>
          <w:p w14:paraId="5A35211F" w14:textId="0302420E" w:rsidR="00790F4B" w:rsidRPr="00790F4B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color w:val="000000"/>
                <w:sz w:val="28"/>
                <w:szCs w:val="28"/>
              </w:rPr>
            </w:pPr>
            <w:bookmarkStart w:id="5" w:name="n30"/>
            <w:bookmarkStart w:id="6" w:name="n523"/>
            <w:bookmarkEnd w:id="5"/>
            <w:bookmarkEnd w:id="6"/>
            <w:r w:rsidRPr="00790F4B">
              <w:rPr>
                <w:color w:val="000000"/>
                <w:sz w:val="28"/>
                <w:szCs w:val="28"/>
              </w:rPr>
              <w:t>Особливості управління Фондом енергоефективності визначаються Законом України "Про Фонд енергоефективності".</w:t>
            </w:r>
          </w:p>
          <w:p w14:paraId="33468DA6" w14:textId="6966BBAC" w:rsidR="00790F4B" w:rsidRPr="00790F4B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rStyle w:val="rvts9"/>
                <w:sz w:val="28"/>
                <w:szCs w:val="28"/>
                <w:lang w:val="uk-UA"/>
              </w:rPr>
            </w:pPr>
            <w:bookmarkStart w:id="7" w:name="n522"/>
            <w:bookmarkStart w:id="8" w:name="n543"/>
            <w:bookmarkEnd w:id="7"/>
            <w:bookmarkEnd w:id="8"/>
            <w:r w:rsidRPr="00790F4B">
              <w:rPr>
                <w:color w:val="000000"/>
                <w:sz w:val="28"/>
                <w:szCs w:val="28"/>
              </w:rPr>
              <w:t>Дія цього Закону не поширюється на управління державними банками, що здійснюється відповідно до Закону України "Про банки і банківську діяльність".</w:t>
            </w:r>
          </w:p>
        </w:tc>
        <w:tc>
          <w:tcPr>
            <w:tcW w:w="2500" w:type="pct"/>
          </w:tcPr>
          <w:p w14:paraId="362D1F9B" w14:textId="77777777" w:rsidR="00790F4B" w:rsidRPr="00790F4B" w:rsidRDefault="00790F4B" w:rsidP="0010704E">
            <w:pPr>
              <w:widowControl w:val="0"/>
              <w:ind w:firstLine="43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90F4B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3.</w:t>
            </w:r>
            <w:r w:rsidRPr="00790F4B">
              <w:rPr>
                <w:color w:val="000000"/>
                <w:sz w:val="28"/>
                <w:szCs w:val="28"/>
                <w:shd w:val="clear" w:color="auto" w:fill="FFFFFF"/>
              </w:rPr>
              <w:t> Об'єкти управління державної власності</w:t>
            </w:r>
          </w:p>
          <w:p w14:paraId="7C224144" w14:textId="77777777" w:rsidR="00790F4B" w:rsidRPr="00790F4B" w:rsidRDefault="00790F4B" w:rsidP="0010704E">
            <w:pPr>
              <w:widowControl w:val="0"/>
              <w:ind w:firstLine="430"/>
              <w:jc w:val="both"/>
              <w:rPr>
                <w:rStyle w:val="rvts9"/>
                <w:color w:val="000000"/>
                <w:sz w:val="28"/>
                <w:szCs w:val="28"/>
                <w:shd w:val="clear" w:color="auto" w:fill="FFFFFF"/>
              </w:rPr>
            </w:pPr>
            <w:r w:rsidRPr="00790F4B">
              <w:rPr>
                <w:rStyle w:val="rvts9"/>
                <w:color w:val="000000"/>
                <w:sz w:val="28"/>
                <w:szCs w:val="28"/>
                <w:shd w:val="clear" w:color="auto" w:fill="FFFFFF"/>
                <w:lang w:val="uk-UA"/>
              </w:rPr>
              <w:t>(…)</w:t>
            </w:r>
          </w:p>
          <w:p w14:paraId="492EC43D" w14:textId="608A2128" w:rsidR="00790F4B" w:rsidRPr="00E15F89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790F4B">
              <w:rPr>
                <w:color w:val="000000"/>
                <w:sz w:val="28"/>
                <w:szCs w:val="28"/>
              </w:rPr>
              <w:t>2. Дія цього Закону не поширюється на управління об'єктами власності Українського народу, визначеними </w:t>
            </w:r>
            <w:r w:rsidRPr="009819E5">
              <w:rPr>
                <w:color w:val="000000"/>
                <w:sz w:val="28"/>
                <w:szCs w:val="28"/>
              </w:rPr>
              <w:t>частиною першою</w:t>
            </w:r>
            <w:r w:rsidRPr="00790F4B">
              <w:rPr>
                <w:color w:val="000000"/>
                <w:sz w:val="28"/>
                <w:szCs w:val="28"/>
              </w:rPr>
              <w:t> статті 13 Конституції України, а також на здійснення прав інтелектуальної власності та корпоративні права, що виникли внаслідок участі державних наукових (науково-дослідних, науково-технологічних, науково-технічних, науково-практичних) установ та державних університетів, академій, інститутів у створенні господарських товариств шляхом внесення до статутного капіталу такого товариства майнових прав інтелектуальної власності, що належать цим установам та навчальним закладам.</w:t>
            </w:r>
          </w:p>
          <w:p w14:paraId="222B3FCA" w14:textId="77777777" w:rsidR="00790F4B" w:rsidRPr="00790F4B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color w:val="000000"/>
                <w:sz w:val="28"/>
                <w:szCs w:val="28"/>
              </w:rPr>
            </w:pPr>
            <w:r w:rsidRPr="00790F4B">
              <w:rPr>
                <w:color w:val="000000"/>
                <w:sz w:val="28"/>
                <w:szCs w:val="28"/>
              </w:rPr>
              <w:t>Особливості управління об'єктами державної власності в оборонно-промисловому комплексі визначаються Законом України "Про особливості управління об'єктами державної власності в оборонно-промисловому комплексі".</w:t>
            </w:r>
          </w:p>
          <w:p w14:paraId="703AE3E0" w14:textId="77777777" w:rsidR="00790F4B" w:rsidRPr="00790F4B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color w:val="000000"/>
                <w:sz w:val="28"/>
                <w:szCs w:val="28"/>
              </w:rPr>
            </w:pPr>
            <w:r w:rsidRPr="00790F4B">
              <w:rPr>
                <w:color w:val="000000"/>
                <w:sz w:val="28"/>
                <w:szCs w:val="28"/>
              </w:rPr>
              <w:t xml:space="preserve">Особливості управління Експортно-кредитним агентством визначаються Законом України "Про забезпечення масштабної експансії експорту товарів (робіт, послуг) українського походження шляхом страхування, </w:t>
            </w:r>
            <w:r w:rsidRPr="00790F4B">
              <w:rPr>
                <w:color w:val="000000"/>
                <w:sz w:val="28"/>
                <w:szCs w:val="28"/>
              </w:rPr>
              <w:lastRenderedPageBreak/>
              <w:t>гарантування та здешевлення кредитування експорту".</w:t>
            </w:r>
          </w:p>
          <w:p w14:paraId="1E44EAC2" w14:textId="77777777" w:rsidR="00790F4B" w:rsidRPr="00790F4B" w:rsidRDefault="00790F4B" w:rsidP="0010704E">
            <w:pPr>
              <w:pStyle w:val="rvps2"/>
              <w:shd w:val="clear" w:color="auto" w:fill="FFFFFF"/>
              <w:spacing w:before="0" w:beforeAutospacing="0" w:after="0" w:afterAutospacing="0"/>
              <w:ind w:firstLine="430"/>
              <w:jc w:val="both"/>
              <w:rPr>
                <w:color w:val="000000"/>
                <w:sz w:val="28"/>
                <w:szCs w:val="28"/>
              </w:rPr>
            </w:pPr>
            <w:r w:rsidRPr="00790F4B">
              <w:rPr>
                <w:color w:val="000000"/>
                <w:sz w:val="28"/>
                <w:szCs w:val="28"/>
              </w:rPr>
              <w:t>Особливості управління Фондом енергоефективності визначаються Законом України "Про Фонд енергоефективності".</w:t>
            </w:r>
          </w:p>
          <w:p w14:paraId="679C6E0E" w14:textId="2BBF148A" w:rsidR="00790F4B" w:rsidRPr="00B85008" w:rsidRDefault="00790F4B" w:rsidP="0010704E">
            <w:pPr>
              <w:widowControl w:val="0"/>
              <w:ind w:firstLine="430"/>
              <w:jc w:val="both"/>
              <w:rPr>
                <w:sz w:val="28"/>
                <w:szCs w:val="28"/>
                <w:lang w:val="uk-UA"/>
              </w:rPr>
            </w:pPr>
            <w:r w:rsidRPr="00790F4B">
              <w:rPr>
                <w:color w:val="000000"/>
                <w:sz w:val="28"/>
                <w:szCs w:val="28"/>
              </w:rPr>
              <w:t>Дія цього Закону не поширюється на управління державними банками, що здійснюється відповідно до Закону України "Про банки і банківську діяльність"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,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а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також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на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управління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Фондом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часткового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гарантування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кредитів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у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сільському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господарстві</w:t>
            </w:r>
            <w:r w:rsidRPr="00B85008">
              <w:rPr>
                <w:b/>
                <w:bCs/>
                <w:sz w:val="28"/>
                <w:szCs w:val="28"/>
              </w:rPr>
              <w:t xml:space="preserve">,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що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здійснюється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відповідно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до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Закону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України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«Про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Фонд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часткового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гарантування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кредитів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у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сільському</w:t>
            </w:r>
            <w:r w:rsidRPr="00B85008">
              <w:rPr>
                <w:b/>
                <w:bCs/>
                <w:sz w:val="28"/>
                <w:szCs w:val="28"/>
              </w:rPr>
              <w:t xml:space="preserve"> </w:t>
            </w:r>
            <w:r w:rsidRPr="00B85008">
              <w:rPr>
                <w:rFonts w:hint="eastAsia"/>
                <w:b/>
                <w:bCs/>
                <w:sz w:val="28"/>
                <w:szCs w:val="28"/>
              </w:rPr>
              <w:t>господарстві</w:t>
            </w:r>
            <w:r w:rsidR="00B85008">
              <w:rPr>
                <w:b/>
                <w:bCs/>
                <w:sz w:val="28"/>
                <w:szCs w:val="28"/>
                <w:lang w:val="uk-UA"/>
              </w:rPr>
              <w:t>.</w:t>
            </w:r>
          </w:p>
        </w:tc>
      </w:tr>
    </w:tbl>
    <w:p w14:paraId="5FE942BE" w14:textId="77777777" w:rsidR="00B41622" w:rsidRDefault="00B41622" w:rsidP="00B41622">
      <w:pPr>
        <w:jc w:val="both"/>
        <w:rPr>
          <w:b/>
          <w:sz w:val="32"/>
          <w:szCs w:val="32"/>
          <w:lang w:val="uk-UA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12616"/>
        <w:gridCol w:w="2552"/>
      </w:tblGrid>
      <w:tr w:rsidR="001F5AB8" w:rsidRPr="00236B5E" w14:paraId="6A544048" w14:textId="77777777" w:rsidTr="001F5AB8">
        <w:tc>
          <w:tcPr>
            <w:tcW w:w="12616" w:type="dxa"/>
            <w:shd w:val="clear" w:color="auto" w:fill="auto"/>
          </w:tcPr>
          <w:p w14:paraId="12B249CB" w14:textId="77777777" w:rsidR="001F5AB8" w:rsidRPr="00236B5E" w:rsidRDefault="001F5AB8" w:rsidP="00C5537D">
            <w:pPr>
              <w:pStyle w:val="1"/>
              <w:spacing w:before="0"/>
              <w:rPr>
                <w:rFonts w:ascii="Times New Roman" w:hAnsi="Times New Roman"/>
                <w:szCs w:val="26"/>
              </w:rPr>
            </w:pPr>
            <w:r w:rsidRPr="00236B5E">
              <w:rPr>
                <w:rFonts w:ascii="Times New Roman" w:hAnsi="Times New Roman"/>
                <w:szCs w:val="26"/>
              </w:rPr>
              <w:t>Народні депутати України</w:t>
            </w:r>
          </w:p>
        </w:tc>
        <w:tc>
          <w:tcPr>
            <w:tcW w:w="2552" w:type="dxa"/>
            <w:shd w:val="clear" w:color="auto" w:fill="auto"/>
          </w:tcPr>
          <w:p w14:paraId="1DB9573B" w14:textId="3FC849A8" w:rsidR="001F5AB8" w:rsidRPr="00236B5E" w:rsidRDefault="001F5AB8" w:rsidP="00C5537D">
            <w:pPr>
              <w:pStyle w:val="ab"/>
              <w:ind w:firstLine="0"/>
              <w:jc w:val="left"/>
              <w:rPr>
                <w:rFonts w:ascii="Times New Roman" w:hAnsi="Times New Roman"/>
                <w:szCs w:val="26"/>
              </w:rPr>
            </w:pPr>
          </w:p>
        </w:tc>
      </w:tr>
    </w:tbl>
    <w:p w14:paraId="3D32FFCB" w14:textId="77777777" w:rsidR="00A65BA9" w:rsidRPr="001F5AB8" w:rsidRDefault="00A65BA9" w:rsidP="001F5AB8">
      <w:pPr>
        <w:jc w:val="both"/>
        <w:rPr>
          <w:sz w:val="28"/>
          <w:szCs w:val="28"/>
        </w:rPr>
      </w:pPr>
    </w:p>
    <w:sectPr w:rsidR="00A65BA9" w:rsidRPr="001F5AB8" w:rsidSect="00135689">
      <w:headerReference w:type="even" r:id="rId9"/>
      <w:headerReference w:type="default" r:id="rId10"/>
      <w:type w:val="continuous"/>
      <w:pgSz w:w="16834" w:h="11909" w:orient="landscape"/>
      <w:pgMar w:top="1134" w:right="1134" w:bottom="1134" w:left="1134" w:header="709" w:footer="709" w:gutter="0"/>
      <w:cols w:space="708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41A68" w14:textId="77777777" w:rsidR="00A474F2" w:rsidRDefault="00A474F2">
      <w:r>
        <w:separator/>
      </w:r>
    </w:p>
  </w:endnote>
  <w:endnote w:type="continuationSeparator" w:id="0">
    <w:p w14:paraId="51CFED2F" w14:textId="77777777" w:rsidR="00A474F2" w:rsidRDefault="00A47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6236D3" w14:textId="77777777" w:rsidR="00A474F2" w:rsidRDefault="00A474F2">
      <w:r>
        <w:separator/>
      </w:r>
    </w:p>
  </w:footnote>
  <w:footnote w:type="continuationSeparator" w:id="0">
    <w:p w14:paraId="4A3486EA" w14:textId="77777777" w:rsidR="00A474F2" w:rsidRDefault="00A47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7134D" w14:textId="77777777" w:rsidR="001D5275" w:rsidRDefault="001D5275" w:rsidP="00687973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D8C5E84" w14:textId="77777777" w:rsidR="001D5275" w:rsidRDefault="001D5275" w:rsidP="004D4AD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DA36D" w14:textId="0D1526A5" w:rsidR="001D5275" w:rsidRDefault="001D5275" w:rsidP="00687973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615C4">
      <w:rPr>
        <w:rStyle w:val="a8"/>
        <w:noProof/>
      </w:rPr>
      <w:t>2</w:t>
    </w:r>
    <w:r>
      <w:rPr>
        <w:rStyle w:val="a8"/>
      </w:rPr>
      <w:fldChar w:fldCharType="end"/>
    </w:r>
  </w:p>
  <w:p w14:paraId="413396FE" w14:textId="77777777" w:rsidR="001D5275" w:rsidRDefault="001D5275" w:rsidP="004D4AD3">
    <w:pPr>
      <w:pStyle w:val="a7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8AD"/>
    <w:rsid w:val="00013BB2"/>
    <w:rsid w:val="000713E8"/>
    <w:rsid w:val="00077C8F"/>
    <w:rsid w:val="000A5E93"/>
    <w:rsid w:val="000F6669"/>
    <w:rsid w:val="00101F7C"/>
    <w:rsid w:val="0010704E"/>
    <w:rsid w:val="0013406B"/>
    <w:rsid w:val="00135689"/>
    <w:rsid w:val="00135A6A"/>
    <w:rsid w:val="001451DF"/>
    <w:rsid w:val="00151850"/>
    <w:rsid w:val="00153850"/>
    <w:rsid w:val="001564C4"/>
    <w:rsid w:val="00184B69"/>
    <w:rsid w:val="00192D01"/>
    <w:rsid w:val="001A6D7F"/>
    <w:rsid w:val="001C3453"/>
    <w:rsid w:val="001C5BE7"/>
    <w:rsid w:val="001D5275"/>
    <w:rsid w:val="001D7497"/>
    <w:rsid w:val="001F5AB8"/>
    <w:rsid w:val="00223853"/>
    <w:rsid w:val="002311E2"/>
    <w:rsid w:val="00240851"/>
    <w:rsid w:val="002601E2"/>
    <w:rsid w:val="00263B69"/>
    <w:rsid w:val="0026439A"/>
    <w:rsid w:val="002675E3"/>
    <w:rsid w:val="002B4358"/>
    <w:rsid w:val="002C7059"/>
    <w:rsid w:val="002E65CB"/>
    <w:rsid w:val="0032731B"/>
    <w:rsid w:val="00332747"/>
    <w:rsid w:val="003738AD"/>
    <w:rsid w:val="00383CD7"/>
    <w:rsid w:val="00385221"/>
    <w:rsid w:val="003A45B6"/>
    <w:rsid w:val="003A732B"/>
    <w:rsid w:val="003C44FD"/>
    <w:rsid w:val="00400819"/>
    <w:rsid w:val="00492B10"/>
    <w:rsid w:val="004A32B5"/>
    <w:rsid w:val="004D4AD3"/>
    <w:rsid w:val="004E26CE"/>
    <w:rsid w:val="004E6947"/>
    <w:rsid w:val="004F6158"/>
    <w:rsid w:val="00502825"/>
    <w:rsid w:val="00511BF4"/>
    <w:rsid w:val="00533E84"/>
    <w:rsid w:val="0054582B"/>
    <w:rsid w:val="005A0636"/>
    <w:rsid w:val="005B7D0C"/>
    <w:rsid w:val="005C754E"/>
    <w:rsid w:val="005D1B22"/>
    <w:rsid w:val="005E2F72"/>
    <w:rsid w:val="005E6A58"/>
    <w:rsid w:val="00635838"/>
    <w:rsid w:val="006665AF"/>
    <w:rsid w:val="00677FC2"/>
    <w:rsid w:val="0068657C"/>
    <w:rsid w:val="00686D97"/>
    <w:rsid w:val="00687973"/>
    <w:rsid w:val="006C62FA"/>
    <w:rsid w:val="006D6195"/>
    <w:rsid w:val="006E2E51"/>
    <w:rsid w:val="006E341C"/>
    <w:rsid w:val="00707472"/>
    <w:rsid w:val="00731C22"/>
    <w:rsid w:val="007531C6"/>
    <w:rsid w:val="00773278"/>
    <w:rsid w:val="00783BEA"/>
    <w:rsid w:val="00790F4B"/>
    <w:rsid w:val="007A48FA"/>
    <w:rsid w:val="007B4D23"/>
    <w:rsid w:val="007D36EE"/>
    <w:rsid w:val="007D4463"/>
    <w:rsid w:val="007F1774"/>
    <w:rsid w:val="007F5180"/>
    <w:rsid w:val="008532BC"/>
    <w:rsid w:val="008F22D9"/>
    <w:rsid w:val="0091025D"/>
    <w:rsid w:val="009819E5"/>
    <w:rsid w:val="0098695A"/>
    <w:rsid w:val="009C44AB"/>
    <w:rsid w:val="009D1371"/>
    <w:rsid w:val="009D2176"/>
    <w:rsid w:val="009D453A"/>
    <w:rsid w:val="00A3079A"/>
    <w:rsid w:val="00A416A3"/>
    <w:rsid w:val="00A474F2"/>
    <w:rsid w:val="00A615C4"/>
    <w:rsid w:val="00A65BA9"/>
    <w:rsid w:val="00A86A1D"/>
    <w:rsid w:val="00AD0761"/>
    <w:rsid w:val="00AE43C2"/>
    <w:rsid w:val="00AF2ACE"/>
    <w:rsid w:val="00B11824"/>
    <w:rsid w:val="00B12979"/>
    <w:rsid w:val="00B14C0F"/>
    <w:rsid w:val="00B32D6B"/>
    <w:rsid w:val="00B41622"/>
    <w:rsid w:val="00B53299"/>
    <w:rsid w:val="00B802A3"/>
    <w:rsid w:val="00B85008"/>
    <w:rsid w:val="00BA4DDF"/>
    <w:rsid w:val="00BB545A"/>
    <w:rsid w:val="00BC739B"/>
    <w:rsid w:val="00BE48F1"/>
    <w:rsid w:val="00BE72B9"/>
    <w:rsid w:val="00C203C3"/>
    <w:rsid w:val="00C6685C"/>
    <w:rsid w:val="00C96F0F"/>
    <w:rsid w:val="00CC68E1"/>
    <w:rsid w:val="00CE33D7"/>
    <w:rsid w:val="00D253EF"/>
    <w:rsid w:val="00D2604E"/>
    <w:rsid w:val="00D3148A"/>
    <w:rsid w:val="00D37A4D"/>
    <w:rsid w:val="00D47BA1"/>
    <w:rsid w:val="00D707A9"/>
    <w:rsid w:val="00D77D80"/>
    <w:rsid w:val="00D851FD"/>
    <w:rsid w:val="00D85CF7"/>
    <w:rsid w:val="00D92EAA"/>
    <w:rsid w:val="00DB5552"/>
    <w:rsid w:val="00DB6DBB"/>
    <w:rsid w:val="00DC4012"/>
    <w:rsid w:val="00DD6A1E"/>
    <w:rsid w:val="00DE1B5A"/>
    <w:rsid w:val="00E01BEE"/>
    <w:rsid w:val="00E136F8"/>
    <w:rsid w:val="00E13BF1"/>
    <w:rsid w:val="00E15F89"/>
    <w:rsid w:val="00E24313"/>
    <w:rsid w:val="00E374B6"/>
    <w:rsid w:val="00E44D24"/>
    <w:rsid w:val="00E50A25"/>
    <w:rsid w:val="00E519B4"/>
    <w:rsid w:val="00E556E2"/>
    <w:rsid w:val="00E6047A"/>
    <w:rsid w:val="00E703BC"/>
    <w:rsid w:val="00E77774"/>
    <w:rsid w:val="00E83DC6"/>
    <w:rsid w:val="00EF10B9"/>
    <w:rsid w:val="00EF4984"/>
    <w:rsid w:val="00F02AE4"/>
    <w:rsid w:val="00F27E4F"/>
    <w:rsid w:val="00F4555D"/>
    <w:rsid w:val="00F55C1D"/>
    <w:rsid w:val="00F8286D"/>
    <w:rsid w:val="00FB65A2"/>
    <w:rsid w:val="00FC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53730"/>
  <w15:docId w15:val="{32941E6E-747E-4BD6-BF1D-B8C1416A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41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4D4AD3"/>
    <w:rPr>
      <w:rFonts w:ascii="Calibri" w:hAnsi="Calibri" w:cs="Calibri"/>
      <w:sz w:val="20"/>
      <w:szCs w:val="20"/>
      <w:lang w:val="uk-UA" w:eastAsia="uk-UA"/>
    </w:rPr>
  </w:style>
  <w:style w:type="character" w:customStyle="1" w:styleId="a5">
    <w:name w:val="Текст виноски Знак"/>
    <w:link w:val="a4"/>
    <w:semiHidden/>
    <w:locked/>
    <w:rsid w:val="004D4AD3"/>
    <w:rPr>
      <w:rFonts w:ascii="Calibri" w:hAnsi="Calibri" w:cs="Calibri"/>
      <w:lang w:val="uk-UA" w:eastAsia="uk-UA" w:bidi="ar-SA"/>
    </w:rPr>
  </w:style>
  <w:style w:type="character" w:styleId="a6">
    <w:name w:val="footnote reference"/>
    <w:semiHidden/>
    <w:rsid w:val="004D4AD3"/>
    <w:rPr>
      <w:rFonts w:cs="Times New Roman"/>
      <w:vertAlign w:val="superscript"/>
    </w:rPr>
  </w:style>
  <w:style w:type="paragraph" w:styleId="a7">
    <w:name w:val="header"/>
    <w:basedOn w:val="a"/>
    <w:rsid w:val="004D4AD3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D4AD3"/>
  </w:style>
  <w:style w:type="character" w:customStyle="1" w:styleId="apple-converted-space">
    <w:name w:val="apple-converted-space"/>
    <w:basedOn w:val="a0"/>
    <w:rsid w:val="00E83DC6"/>
  </w:style>
  <w:style w:type="character" w:styleId="a9">
    <w:name w:val="Hyperlink"/>
    <w:rsid w:val="00E83DC6"/>
    <w:rPr>
      <w:color w:val="0000FF"/>
      <w:u w:val="single"/>
    </w:rPr>
  </w:style>
  <w:style w:type="paragraph" w:customStyle="1" w:styleId="rvps2">
    <w:name w:val="rvps2"/>
    <w:basedOn w:val="a"/>
    <w:rsid w:val="006C62FA"/>
    <w:pPr>
      <w:spacing w:before="100" w:beforeAutospacing="1" w:after="100" w:afterAutospacing="1"/>
    </w:pPr>
  </w:style>
  <w:style w:type="character" w:customStyle="1" w:styleId="rvts46">
    <w:name w:val="rvts46"/>
    <w:basedOn w:val="a0"/>
    <w:rsid w:val="006C62FA"/>
  </w:style>
  <w:style w:type="paragraph" w:styleId="aa">
    <w:name w:val="Normal (Web)"/>
    <w:basedOn w:val="a"/>
    <w:rsid w:val="006C62FA"/>
    <w:pPr>
      <w:spacing w:before="100" w:beforeAutospacing="1" w:after="100" w:afterAutospacing="1"/>
    </w:pPr>
  </w:style>
  <w:style w:type="character" w:customStyle="1" w:styleId="rvts11">
    <w:name w:val="rvts11"/>
    <w:basedOn w:val="a0"/>
    <w:rsid w:val="006C62FA"/>
  </w:style>
  <w:style w:type="character" w:customStyle="1" w:styleId="rvts9">
    <w:name w:val="rvts9"/>
    <w:basedOn w:val="a0"/>
    <w:rsid w:val="00B32D6B"/>
  </w:style>
  <w:style w:type="paragraph" w:customStyle="1" w:styleId="ab">
    <w:name w:val="Нормальний текст"/>
    <w:basedOn w:val="a"/>
    <w:rsid w:val="001F5AB8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1">
    <w:name w:val="Підпис1"/>
    <w:basedOn w:val="a"/>
    <w:rsid w:val="001F5AB8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5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19644E-20AC-4CFE-B5C4-83F00B997C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8AD97C-F788-4EEA-B4B8-1FD649E5C0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068E7-30D3-4CB3-9A42-1DFF38FD5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2064</Words>
  <Characters>1178</Characters>
  <Application>Microsoft Office Word</Application>
  <DocSecurity>0</DocSecurity>
  <Lines>9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Порівняльна таблиця</vt:lpstr>
      <vt:lpstr>Порівняльна таблиця</vt:lpstr>
    </vt:vector>
  </TitlesOfParts>
  <Company/>
  <LinksUpToDate>false</LinksUpToDate>
  <CharactersWithSpaces>3236</CharactersWithSpaces>
  <SharedDoc>false</SharedDoc>
  <HLinks>
    <vt:vector size="12" baseType="variant">
      <vt:variant>
        <vt:i4>6226000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>n4204</vt:lpwstr>
      </vt:variant>
      <vt:variant>
        <vt:i4>6226000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>n4204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2020-05-25T08:20:00Z</dcterms:created>
  <dcterms:modified xsi:type="dcterms:W3CDTF">2020-05-25T08:20:00Z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