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968" w:rsidRPr="00094852" w:rsidRDefault="00B31968" w:rsidP="00B319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  <w:r w:rsidRPr="00094852">
        <w:rPr>
          <w:rFonts w:ascii="Times New Roman" w:eastAsia="Times New Roman" w:hAnsi="Times New Roman" w:cs="Times New Roman"/>
          <w:noProof/>
          <w:spacing w:val="20"/>
          <w:sz w:val="34"/>
          <w:szCs w:val="34"/>
          <w:lang w:eastAsia="uk-UA"/>
        </w:rPr>
        <w:drawing>
          <wp:anchor distT="360045" distB="0" distL="114300" distR="114300" simplePos="0" relativeHeight="251659264" behindDoc="0" locked="0" layoutInCell="1" allowOverlap="1" wp14:anchorId="4296F17D" wp14:editId="33BB2E3D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1968" w:rsidRPr="00094852" w:rsidRDefault="00B31968" w:rsidP="00B319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B31968" w:rsidRPr="00094852" w:rsidRDefault="00B31968" w:rsidP="00B319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B31968" w:rsidRPr="00094852" w:rsidRDefault="00B31968" w:rsidP="00B31968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val="ru-RU" w:eastAsia="ru-RU"/>
        </w:rPr>
      </w:pPr>
      <w:r w:rsidRPr="00094852"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eastAsia="ru-RU"/>
        </w:rPr>
        <w:t>ВЕРХОВНА РАДА УКРАЇНИ</w:t>
      </w:r>
    </w:p>
    <w:p w:rsidR="00B31968" w:rsidRPr="00094852" w:rsidRDefault="00B31968" w:rsidP="00B31968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val="ru-RU" w:eastAsia="ru-RU"/>
        </w:rPr>
      </w:pPr>
      <w:r w:rsidRPr="00094852"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eastAsia="ru-RU"/>
        </w:rPr>
        <w:t>Комітет з питань інтеграції України з Європейським Союзом</w:t>
      </w:r>
    </w:p>
    <w:p w:rsidR="00DE4696" w:rsidRPr="00152298" w:rsidRDefault="00B31968" w:rsidP="00B319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01008, м.Київ-8, вул. М. Грушевського, 5, 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тел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.: 255-34-42, факс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: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 255-33-13, 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e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-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mail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 xml:space="preserve">: 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comeuroint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@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v</w:t>
      </w:r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rada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gov</w:t>
      </w:r>
      <w:proofErr w:type="spellEnd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proofErr w:type="spellStart"/>
      <w:r w:rsidRPr="00094852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ua</w:t>
      </w:r>
      <w:proofErr w:type="spellEnd"/>
    </w:p>
    <w:p w:rsidR="00DE4696" w:rsidRDefault="00DE4696" w:rsidP="00DE46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696" w:rsidRDefault="00DE4696" w:rsidP="00DE46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696" w:rsidRPr="00C23A8E" w:rsidRDefault="00DE4696" w:rsidP="00DE46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DE4696" w:rsidRPr="00C23A8E" w:rsidRDefault="00DE4696" w:rsidP="00DE46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проекту Закону України </w:t>
      </w:r>
    </w:p>
    <w:p w:rsidR="00DE4696" w:rsidRPr="00C23A8E" w:rsidRDefault="00DE4696" w:rsidP="00EA22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деяких законодавчих актів України щодо впровадження плати за використання автомобільних доріг загального користування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E4696" w:rsidRPr="00C23A8E" w:rsidRDefault="00DE4696" w:rsidP="00DE46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3544 від 27.05.2020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нар. депутат </w:t>
      </w:r>
      <w:r w:rsid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Шуляк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31968">
        <w:rPr>
          <w:rStyle w:val="ac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DE4696" w:rsidRPr="00C23A8E" w:rsidRDefault="00DE4696" w:rsidP="00DE46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696" w:rsidRPr="00C23A8E" w:rsidRDefault="00DE4696" w:rsidP="00DE469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законопроекту.</w:t>
      </w:r>
    </w:p>
    <w:p w:rsidR="00DE4696" w:rsidRPr="00C23A8E" w:rsidRDefault="00DE4696" w:rsidP="00DE46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696" w:rsidRDefault="00DE4696" w:rsidP="00DE46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розроблено з метою 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запровад</w:t>
      </w:r>
      <w:r w:rsid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ження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</w:t>
      </w:r>
      <w:r w:rsid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проїзд із вантаж</w:t>
      </w:r>
      <w:r w:rsid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 транспортних засобів, вирішення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питання збільшення доходів дорожнього фонду в Україні, встанов</w:t>
      </w:r>
      <w:r w:rsid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лення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справедлив</w:t>
      </w:r>
      <w:r w:rsid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підх</w:t>
      </w:r>
      <w:r w:rsid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збору коштів на розвиток доріг від користувачів дорожньої інфраструктури, забезпеч</w:t>
      </w:r>
      <w:r w:rsid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ення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імплементаці</w:t>
      </w:r>
      <w:r w:rsid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європейського</w:t>
      </w:r>
      <w:r w:rsid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законодавства в частині плати 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проїзд.</w:t>
      </w:r>
    </w:p>
    <w:p w:rsidR="00EA225A" w:rsidRDefault="00EA225A" w:rsidP="00DE46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інформацією ініціаторів законопроекту, його</w:t>
      </w:r>
      <w:r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розроблен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виконання пункту 1813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затвердженого постановою Кабінету Міністрів України від 25 жовтня 2017 року № 1106 «Про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сторони».</w:t>
      </w:r>
    </w:p>
    <w:p w:rsidR="00DE4696" w:rsidRPr="00C23A8E" w:rsidRDefault="00DE4696" w:rsidP="00DE46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Закону передбачається внесення змін до 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ряду статей Кодексу України про адміністративні правопорушення, </w:t>
      </w:r>
      <w:r w:rsidR="0015229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A225A"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аконів України «Про автомобільні дороги», «Про джерела фінансування дорожнього господарства України», «Про дорожній рух», «Про автомобільний транспорт»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4696" w:rsidRPr="00C23A8E" w:rsidRDefault="00EA225A" w:rsidP="00EA22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</w:t>
      </w:r>
      <w:r w:rsidR="00DE4696"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законопроекту, на думку ініціаторів,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дозволить</w:t>
      </w:r>
      <w:r w:rsidR="00DE4696"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забезпечити належне утримання та своєчасний ремонт автодоріг загального користування державного значення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покращити їх технічний стан, </w:t>
      </w:r>
      <w:r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виконати ремонт і реконструкцію існуючих мостів і шляхопроводів для доведення їх характеристик до нормативних параметрів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A22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щити безпеку і організацію руху</w:t>
      </w:r>
      <w:r w:rsidR="00DE4696"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4696" w:rsidRPr="00C23A8E" w:rsidRDefault="00DE4696" w:rsidP="00DE4696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DE4696" w:rsidRDefault="00DE4696" w:rsidP="00DE4696">
      <w:pPr>
        <w:tabs>
          <w:tab w:val="left" w:pos="360"/>
        </w:tabs>
        <w:spacing w:before="1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F8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Проект </w:t>
      </w:r>
      <w:proofErr w:type="spellStart"/>
      <w:r w:rsidRPr="00E86F8C"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  <w:r w:rsidRPr="00E86F8C">
        <w:rPr>
          <w:rFonts w:ascii="Times New Roman" w:eastAsia="Times New Roman" w:hAnsi="Times New Roman" w:cs="Times New Roman"/>
          <w:sz w:val="28"/>
          <w:szCs w:val="28"/>
        </w:rPr>
        <w:t xml:space="preserve"> за предметом правового регулювання охоплюється зобов'язаннями у сфері європейської інтеграції, зокрема положеннями статті 368 Глави 7 «Транспорт»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- Угода про асоціацію), згідно з якими співробітництво між Україною та ЄС спрямовується на покращення руху пасажирів та вантажів, зростання плинності транспортних потоків між Україною, ЄС і третіми країнами регіону за рахунок усунення адміністративних, технічних, прикордонних та інших перешкод, підвищення рівня безпеки авіаційного транспорту, посилення заходів захисту авіації </w:t>
      </w:r>
      <w:r>
        <w:rPr>
          <w:rFonts w:ascii="Times New Roman" w:eastAsia="Times New Roman" w:hAnsi="Times New Roman" w:cs="Times New Roman"/>
          <w:sz w:val="28"/>
          <w:szCs w:val="28"/>
        </w:rPr>
        <w:t>від актів незаконного втручання</w:t>
      </w:r>
      <w:r w:rsidRPr="00E86F8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E4696" w:rsidRPr="00E86F8C" w:rsidRDefault="00DE4696" w:rsidP="00DE4696">
      <w:pPr>
        <w:tabs>
          <w:tab w:val="left" w:pos="3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3. </w:t>
      </w:r>
      <w:r w:rsidRPr="00E86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Відповідність законопроекту праву ЄС, зобов’язанням України в рамках Ради Європи, нормам та принципам системи ГАТТ/СОТ.</w:t>
      </w:r>
      <w:r w:rsidRPr="00E86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CC1200" w:rsidRPr="00CC1200" w:rsidRDefault="00CC1200" w:rsidP="00CC1200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Оподаткування та справляння плати за інфраструктуру важливі для підтримки і розвитку транс'європейської інфраструктур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ної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мережі.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У рамках 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ЄС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було створено правову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основу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 метою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спонука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ння держав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-член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ів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використовувати оподаткування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та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стягнення плати за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користування 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інфраструктур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ою у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найбільш ефективни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й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та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справедливи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й спосіб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для просування принципів «платить користувач» і «забруднювач платить»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як це закріплено в договорах.</w:t>
      </w:r>
    </w:p>
    <w:p w:rsidR="00CC1200" w:rsidRPr="00CC1200" w:rsidRDefault="00CC1200" w:rsidP="00CC1200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Ця структура сприяє </w:t>
      </w:r>
      <w:proofErr w:type="spellStart"/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інтерналізації</w:t>
      </w:r>
      <w:proofErr w:type="spellEnd"/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зовнішніх витрат, пов'язаних з автомобільним транспортом, таких як витрати, пов'язані з використанням інфраструктури або її екологічними і соціальними наслідками. З урахуванням </w:t>
      </w:r>
      <w:proofErr w:type="spellStart"/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інтерналізації</w:t>
      </w:r>
      <w:proofErr w:type="spellEnd"/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витрат ЄС також хоче заохочувати більш ефективне використання транспортн</w:t>
      </w:r>
      <w:r w:rsidR="0015229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ої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152298"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інфраструктури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як</w:t>
      </w:r>
      <w:r w:rsidR="0015229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 даний час стражда</w:t>
      </w:r>
      <w:r w:rsidR="0015229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є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від заторів, тим самим скорочуючи час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для автовласників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витрачений даремно через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проблеми вузьких місць.</w:t>
      </w:r>
    </w:p>
    <w:p w:rsidR="00DE4696" w:rsidRDefault="00CC1200" w:rsidP="00CC1200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Плата за </w:t>
      </w:r>
      <w:r w:rsidR="00152298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користування автодорогами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також може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слугувати</w:t>
      </w:r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корисним інструментом для отримання нових джерел доходів, які допомагають розвивати </w:t>
      </w:r>
      <w:proofErr w:type="spellStart"/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життєво</w:t>
      </w:r>
      <w:proofErr w:type="spellEnd"/>
      <w:r w:rsidRPr="00CC120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важливу інфраструктуру Європи, а також більш чисті і енергоефективні види транспорту.</w:t>
      </w:r>
    </w:p>
    <w:p w:rsidR="007B32E9" w:rsidRPr="007B32E9" w:rsidRDefault="007B32E9" w:rsidP="007B32E9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Основа єдиного законодавства ЄС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щодо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дорожні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х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зборів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була закладе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на в 1993 році Директивою 93/89/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ЄЕС "Про оподаткування автотранспортних засобів, що використовуються для перевезень вантажів, і про стягування зборів за користування об'єктами транспортної інфраструктури». На європейському рівні вона стала першою Директивою щодо справляння плати за використання дорожньої інфраструктури, яка регламентує застосування системи «</w:t>
      </w:r>
      <w:proofErr w:type="spellStart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Євровінь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єтка</w:t>
      </w:r>
      <w:proofErr w:type="spellEnd"/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». Фактично Директива 93/89/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ЄЕС носила «рамковий характер» і не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визначала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конкретних способів реалізації викладених в ній принципів, не містила методології розрахунку ставок зборів, залишаючи це на розсуд кожної окремої країни. Разом з тим директива визн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ачила наступні ключові поняття:</w:t>
      </w:r>
    </w:p>
    <w:p w:rsidR="007B32E9" w:rsidRPr="007B32E9" w:rsidRDefault="007B32E9" w:rsidP="007B32E9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• </w:t>
      </w:r>
      <w:r w:rsid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оняття </w:t>
      </w:r>
      <w:proofErr w:type="spellStart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покілометрового</w:t>
      </w:r>
      <w:proofErr w:type="spellEnd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(</w:t>
      </w:r>
      <w:proofErr w:type="spellStart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toll</w:t>
      </w:r>
      <w:proofErr w:type="spellEnd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) і тимчасового (</w:t>
      </w:r>
      <w:proofErr w:type="spellStart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user</w:t>
      </w:r>
      <w:proofErr w:type="spellEnd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proofErr w:type="spellStart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charge</w:t>
      </w:r>
      <w:proofErr w:type="spellEnd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) збору з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 користування інфраструктурою;</w:t>
      </w:r>
    </w:p>
    <w:p w:rsidR="007B32E9" w:rsidRPr="007B32E9" w:rsidRDefault="007B32E9" w:rsidP="007B32E9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• </w:t>
      </w:r>
      <w:r w:rsid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ипи об'єктів транспортної інфраструктури, за користування якими стягуються збори;</w:t>
      </w:r>
    </w:p>
    <w:p w:rsidR="007B32E9" w:rsidRPr="007B32E9" w:rsidRDefault="007B32E9" w:rsidP="007B32E9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lastRenderedPageBreak/>
        <w:t xml:space="preserve">• </w:t>
      </w:r>
      <w:r w:rsid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к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атегорії автотранспортних засобів, з яких справляються збори (вантажні автомобілі та автопоїзда з максимальною дозв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оленою масою не менше 12 тон);</w:t>
      </w:r>
    </w:p>
    <w:p w:rsidR="007B32E9" w:rsidRPr="007B32E9" w:rsidRDefault="007B32E9" w:rsidP="007B32E9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• </w:t>
      </w:r>
      <w:r w:rsid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ринципи диференціації зборів за користування інфраструктурою, а також пода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тків на автотранспортний засіб;</w:t>
      </w:r>
    </w:p>
    <w:p w:rsidR="007B32E9" w:rsidRPr="007B32E9" w:rsidRDefault="007B32E9" w:rsidP="007B32E9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• </w:t>
      </w:r>
      <w:r w:rsid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ринципи стягування зборів;</w:t>
      </w:r>
    </w:p>
    <w:p w:rsidR="007B32E9" w:rsidRPr="007B32E9" w:rsidRDefault="00800B22" w:rsidP="00800B22">
      <w:pPr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• м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інімальні щорічні розміри податків на автотранспортні засоби і макс</w:t>
      </w:r>
      <w:r w:rsid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имальні щорічні розміри зборів;</w:t>
      </w:r>
    </w:p>
    <w:p w:rsidR="007B32E9" w:rsidRPr="007B32E9" w:rsidRDefault="007B32E9" w:rsidP="007B32E9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• </w:t>
      </w:r>
      <w:r w:rsid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орядок співпраці держав, які виявили бажання ввести на своїй території єдиний порядок справляння зборів.</w:t>
      </w:r>
    </w:p>
    <w:p w:rsidR="007B32E9" w:rsidRPr="007B32E9" w:rsidRDefault="007B32E9" w:rsidP="007B32E9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</w:p>
    <w:p w:rsidR="007B32E9" w:rsidRPr="007B32E9" w:rsidRDefault="007B32E9" w:rsidP="007B32E9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Варто зазначити, що у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1995 році ця Директива була скасована рішенням Європейського суду через те, що при її прийнятті було порушено встановлений порядок узгодження. За рішенням суду, Директива залишалася в силі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до прийняття нового документа.</w:t>
      </w:r>
    </w:p>
    <w:p w:rsidR="007B32E9" w:rsidRPr="007B32E9" w:rsidRDefault="007B32E9" w:rsidP="007B32E9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У 1999 році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її змінила Директива</w:t>
      </w:r>
      <w:r w:rsidR="00500BF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1999/62 /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ЄС «Про </w:t>
      </w:r>
      <w:r w:rsidR="008F77DB" w:rsidRPr="008F77D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стягнення плати з великовагових вантажних транспортних засобів за використання певних </w:t>
      </w:r>
      <w:proofErr w:type="spellStart"/>
      <w:r w:rsidR="008F77DB" w:rsidRPr="008F77D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інфраструктур</w:t>
      </w:r>
      <w:proofErr w:type="spellEnd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». Дана Директива, в основному, повторювала попередній документ, за винятком ряду суттєвих доповнень, стосовно можливостей диференціації </w:t>
      </w:r>
      <w:proofErr w:type="spellStart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покілометрови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х</w:t>
      </w:r>
      <w:proofErr w:type="spellEnd"/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зборів в залежності від часу доби і диференціації почасових зборів в залежності від екологічного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класу автотранспортного засобу.</w:t>
      </w:r>
    </w:p>
    <w:p w:rsidR="007B32E9" w:rsidRPr="007B32E9" w:rsidRDefault="007B32E9" w:rsidP="007B32E9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До к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лючов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их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принцип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ів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викладен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их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 Директиві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1999/62/ЄС варто віднести 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недискримінаційний характер встановлення ставок зборів (єдині ставки зборів для місцевих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та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іноземних перевізників);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ставки зборів можуть бути призначені не вище обмежень, за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значених в Директиві</w:t>
      </w:r>
      <w:r w:rsid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1999/62/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ЄС;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середньозважена ставка зборів повинна відображати витрати на будівництво, експлуатацію та розвиток дорожньої мережі;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платіжно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ю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базою повинна бути величина, що відображає інтенсивність використання дорожньої інфраструктури (період часу використання дорожньої інфраструктури, або кілометр пробігу);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можливість диференціації ставок відповідно до характеристик автотранспортного засобу, що впливають на шкоду, яку завдають об'єкт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ам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дорожньої інфраструктури, навколишньому середовищу і здоров'ю населення (вантажопідйомність, екологічний клас).</w:t>
      </w:r>
    </w:p>
    <w:p w:rsidR="007B32E9" w:rsidRPr="007B32E9" w:rsidRDefault="007B32E9" w:rsidP="00B442BC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Згодом, у 2006 році в силу вступили 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ові правила,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відображені в Директиві 2006/38</w:t>
      </w:r>
      <w:r w:rsidR="00500BF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/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ЄС, а саме:</w:t>
      </w:r>
      <w:r w:rsidR="00B442BC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зобов’язання для 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держав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-член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ів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ЄС, які вже мають або хочуть впровадити систему зборів платежів, стягувати збори з усіх транспортних засобів, чия маса перевищує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3,5 тон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и, при пересуванні по дорогах, які входять в загальноєвропе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йську автодорожню мережу TEN-R;</w:t>
      </w:r>
    </w:p>
    <w:p w:rsidR="007B32E9" w:rsidRPr="007B32E9" w:rsidRDefault="00B442BC" w:rsidP="00B442BC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Також надавалося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право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державам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-членам ЄС до 2012 року прийняти рішення про виведення зі схеми оплати транспортні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засоби масою від 3,5 до 12 тон та 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стяг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нення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збор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ів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на всій 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мережі 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національн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ої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дорожньої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інфраструктури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. Нова Директива встановлює правила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щодо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дорожні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х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зборів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для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транспортних засо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бів, чия маса перевищує 3,5 тон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и, на всій мережі TEN-R. З усіх інших транспорт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них засобів масою менше 3,5 тон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за проїзд по дорогах не входять в мережу TEN-R мож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уть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стягуватися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збори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відповідно до правил Угоди;</w:t>
      </w:r>
    </w:p>
    <w:p w:rsidR="007B32E9" w:rsidRPr="007B32E9" w:rsidRDefault="00B442BC" w:rsidP="00B442BC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Варто додати, що окрім вищезазначеного, правове регулювання дозволяє  державам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-членам вводити «збори з користувачів» для боротьби з перевантаженістю і забрудненням, що перев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ищують середньозважене значення, 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lastRenderedPageBreak/>
        <w:t>приймати рішення про те, як використовувати доходи від справляння зборів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варіювати збори на підставі дня тижня, часу доби, класів </w:t>
      </w:r>
      <w:r w:rsidR="008F77D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щодо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викид</w:t>
      </w:r>
      <w:r w:rsidR="008F77D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ів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«Євро».</w:t>
      </w:r>
    </w:p>
    <w:p w:rsidR="007B32E9" w:rsidRDefault="00800B22" w:rsidP="00800B22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Важливим елементом регулювання  є застосування у державах-членах 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різн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их систем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збору плати з вантажних автомобілів за проїз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 по мережі магістральних доріг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(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погодинн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систем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</w:t>
      </w:r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зборів платежів (система «</w:t>
      </w:r>
      <w:proofErr w:type="spellStart"/>
      <w:r w:rsidR="00500BF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Євровіньєтка</w:t>
      </w:r>
      <w:proofErr w:type="spellEnd"/>
      <w:r w:rsidR="007B32E9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»)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; </w:t>
      </w:r>
      <w:proofErr w:type="spellStart"/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покілометров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</w:t>
      </w:r>
      <w:proofErr w:type="spellEnd"/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систем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збору платежів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яка застосовується 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в Німеччині, Швейцарії, Австрії, Італії та інших країнах-членах ЄС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;  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систем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збору дорожнього мита з вантажних автомобілів (</w:t>
      </w:r>
      <w:proofErr w:type="spellStart"/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Toll</w:t>
      </w:r>
      <w:proofErr w:type="spellEnd"/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proofErr w:type="spellStart"/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Collect</w:t>
      </w:r>
      <w:proofErr w:type="spellEnd"/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)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).</w:t>
      </w:r>
    </w:p>
    <w:p w:rsidR="00800B22" w:rsidRPr="007B32E9" w:rsidRDefault="00800B22" w:rsidP="00800B22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Наприклад, застосовуючи вищенаведену систему з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бором обкладаються всі важкі вантажні транспортні засоби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у Німеччині 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озволеною масою не менше 12 тон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що пересуваються федеральн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ою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мереж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ею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автобанів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та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автомобільним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дорогам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федерального підпорядкування.</w:t>
      </w:r>
    </w:p>
    <w:p w:rsidR="00EA225A" w:rsidRDefault="00800B22" w:rsidP="00500BFE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Ще однією відмінною характеристикою є те, що 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відповідно до Директив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1999/62/</w:t>
      </w:r>
      <w:r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ЄС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урахуванням змін, внесених Директив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ою 2006/38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/ ЄС, відбувається процес переходу від системи віньєток і пунктів збору плати до більш ефективни</w:t>
      </w:r>
      <w:r w:rsidR="00500BF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х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500BF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інструментів</w:t>
      </w:r>
      <w:r w:rsidRPr="00800B22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контролю і позиціонування щодо наземних і супутникових систем.</w:t>
      </w:r>
    </w:p>
    <w:p w:rsidR="00DE4696" w:rsidRDefault="00500BFE" w:rsidP="00500BFE">
      <w:pPr>
        <w:suppressAutoHyphens/>
        <w:spacing w:after="0" w:line="100" w:lineRule="atLeast"/>
        <w:ind w:firstLine="645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Аналізуючи запропоновані проектом </w:t>
      </w:r>
      <w:r w:rsidR="008564D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акону норми варто зазначити</w:t>
      </w:r>
      <w:r w:rsidR="00DE4696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що </w:t>
      </w:r>
      <w:r w:rsidR="00DE4696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спроба </w:t>
      </w:r>
      <w:r w:rsidR="008564DA" w:rsidRPr="008564D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запровадити систему збору плати за проїзд з використанням автомобільних доріг загального користування  транспортними засобами з максимальною дозволеною загальною масою 12 т і більше </w:t>
      </w:r>
      <w:r w:rsidR="00DE4696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містить достатньо фрагментарне застосування положень</w:t>
      </w:r>
      <w:r w:rsidR="008564D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="008564DA" w:rsidRPr="007B32E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Директив</w:t>
      </w:r>
      <w:r w:rsidR="008564D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 1999/62/ЄС та Директиви 2006/38/ЄС</w:t>
      </w:r>
      <w:r w:rsidR="00DE4696" w:rsidRPr="00C23A8E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. </w:t>
      </w:r>
      <w:r w:rsidR="004726B1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Ще однією важливою складовою практики застосування плати за використання автошляхів є якість покриття та безпечність транспортної інфраструктури. Натомість, в Україні транспортна інфраструктура, яка б відповідала європейським стандартам, практично відсутня і можливість її створення розглядається лише у довгостроковій перспективі.  </w:t>
      </w:r>
    </w:p>
    <w:p w:rsidR="008564DA" w:rsidRDefault="008564DA" w:rsidP="008564D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Необхідно також звернути увагу на те, що відповідно до правового поля ЄС </w:t>
      </w:r>
      <w:r w:rsidRPr="008564D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визначається</w:t>
      </w:r>
      <w:r w:rsidRPr="008564D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неможливість дискримінації операторів ринку перевезень за ознакою місця походження, відправлення, вве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зення, вивезення чи призначення. Водночас, у перехідних положеннях проекту Закону міститься норма, яка визначає можливість стягнення</w:t>
      </w:r>
      <w:r w:rsidRPr="008564D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плати за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користування </w:t>
      </w:r>
      <w:r w:rsidRPr="008564D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автомобільни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ми</w:t>
      </w:r>
      <w:r w:rsidRPr="008564D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дор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огами</w:t>
      </w:r>
      <w:r w:rsidRPr="008564D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загального користування транспортними засобами виключно з транспортних засобів іноземних перевізників, які здійснюють транзитні перевезення територією України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.</w:t>
      </w:r>
    </w:p>
    <w:p w:rsidR="008564DA" w:rsidRDefault="007B54B5" w:rsidP="007B54B5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Вказане положення проекту </w:t>
      </w:r>
      <w:proofErr w:type="spellStart"/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акта</w:t>
      </w:r>
      <w:proofErr w:type="spellEnd"/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суперечить положенню Директиви 1999/62/ЄС відповідно до якого збори за проїзд і збори з користувачів не повинні призводити до прямої або непрямої дискримінації на основі національності перевізника, країни чи місця заснування перевізника чи реєстрації транспортного засобу, або походження чи пункту призначення тра</w:t>
      </w:r>
      <w:r w:rsidR="008F77D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нспортної операції (ст. (3) 7 )</w:t>
      </w:r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.</w:t>
      </w:r>
    </w:p>
    <w:p w:rsidR="00DE4696" w:rsidRPr="008564DA" w:rsidRDefault="007B54B5" w:rsidP="008564D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Таким чином, проект </w:t>
      </w:r>
      <w:proofErr w:type="spellStart"/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акта</w:t>
      </w:r>
      <w:proofErr w:type="spellEnd"/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спрямований на виконання зобов'язань відповідно до Угоди про асо</w:t>
      </w:r>
      <w:bookmarkStart w:id="0" w:name="_GoBack"/>
      <w:bookmarkEnd w:id="0"/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ціацію, </w:t>
      </w:r>
      <w:r w:rsidRPr="007B54B5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частково узгоджується</w:t>
      </w:r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 положеннями права ЄС, однак містить норму, що </w:t>
      </w:r>
      <w:r w:rsidRPr="007B54B5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суперечить</w:t>
      </w:r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принципу недискримінації і, у зв'язку з цим, потребує доопрацювання.</w:t>
      </w:r>
    </w:p>
    <w:p w:rsidR="00DE4696" w:rsidRPr="00C23A8E" w:rsidRDefault="00DE4696" w:rsidP="00DE4696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E4696" w:rsidRPr="00C23A8E" w:rsidRDefault="00DE4696" w:rsidP="00DE4696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56303" w:rsidRDefault="00156303"/>
    <w:sectPr w:rsidR="001563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201" w:rsidRDefault="00281201" w:rsidP="00500BFE">
      <w:pPr>
        <w:spacing w:after="0" w:line="240" w:lineRule="auto"/>
      </w:pPr>
      <w:r>
        <w:separator/>
      </w:r>
    </w:p>
  </w:endnote>
  <w:endnote w:type="continuationSeparator" w:id="0">
    <w:p w:rsidR="00281201" w:rsidRDefault="00281201" w:rsidP="00500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201" w:rsidRDefault="00281201" w:rsidP="00500BFE">
      <w:pPr>
        <w:spacing w:after="0" w:line="240" w:lineRule="auto"/>
      </w:pPr>
      <w:r>
        <w:separator/>
      </w:r>
    </w:p>
  </w:footnote>
  <w:footnote w:type="continuationSeparator" w:id="0">
    <w:p w:rsidR="00281201" w:rsidRDefault="00281201" w:rsidP="00500BFE">
      <w:pPr>
        <w:spacing w:after="0" w:line="240" w:lineRule="auto"/>
      </w:pPr>
      <w:r>
        <w:continuationSeparator/>
      </w:r>
    </w:p>
  </w:footnote>
  <w:footnote w:id="1">
    <w:p w:rsidR="00B31968" w:rsidRPr="00B31968" w:rsidRDefault="00B31968" w:rsidP="00B31968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c"/>
        </w:rPr>
        <w:footnoteRef/>
      </w:r>
      <w:r>
        <w:t xml:space="preserve"> </w:t>
      </w:r>
      <w:r w:rsidRPr="00B31968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B31968">
        <w:rPr>
          <w:rFonts w:ascii="Times New Roman" w:eastAsia="MS Mincho" w:hAnsi="Times New Roman" w:cs="Times New Roman"/>
          <w:sz w:val="24"/>
          <w:szCs w:val="24"/>
          <w:lang w:eastAsia="ru-RU"/>
        </w:rPr>
        <w:t>омітет розглянув проект Закону на своєму засіданні 1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5</w:t>
      </w:r>
      <w:r w:rsidRPr="00B31968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липня 2020 року (протокол № 42</w:t>
      </w:r>
      <w:r w:rsidRPr="00B31968">
        <w:rPr>
          <w:rFonts w:ascii="Times New Roman" w:eastAsia="MS Mincho" w:hAnsi="Times New Roman" w:cs="Times New Roman"/>
          <w:sz w:val="24"/>
          <w:szCs w:val="24"/>
          <w:lang w:eastAsia="ru-RU"/>
        </w:rPr>
        <w:t>) в</w:t>
      </w:r>
      <w:r w:rsidRPr="00B31968">
        <w:rPr>
          <w:rFonts w:ascii="Times New Roman" w:eastAsia="Times New Roman" w:hAnsi="Times New Roman" w:cs="Times New Roman"/>
          <w:sz w:val="24"/>
          <w:szCs w:val="24"/>
          <w:lang w:eastAsia="ru-RU"/>
        </w:rPr>
        <w:t>ідповідно до статті 93 Регламенту Верховної Ради України</w:t>
      </w:r>
      <w:r w:rsidRPr="00B31968">
        <w:rPr>
          <w:rFonts w:ascii="Times New Roman" w:eastAsia="MS Mincho" w:hAnsi="Times New Roman" w:cs="Times New Roman"/>
          <w:sz w:val="24"/>
          <w:szCs w:val="24"/>
          <w:lang w:eastAsia="ru-RU"/>
        </w:rPr>
        <w:t>.</w:t>
      </w:r>
    </w:p>
    <w:p w:rsidR="00B31968" w:rsidRDefault="00B31968">
      <w:pPr>
        <w:pStyle w:val="a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05D8C"/>
    <w:multiLevelType w:val="hybridMultilevel"/>
    <w:tmpl w:val="3C9C8454"/>
    <w:lvl w:ilvl="0" w:tplc="0422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6CA"/>
    <w:rsid w:val="00065364"/>
    <w:rsid w:val="00152298"/>
    <w:rsid w:val="00156303"/>
    <w:rsid w:val="00281201"/>
    <w:rsid w:val="004726B1"/>
    <w:rsid w:val="00500BFE"/>
    <w:rsid w:val="007A3703"/>
    <w:rsid w:val="007B32E9"/>
    <w:rsid w:val="007B54B5"/>
    <w:rsid w:val="00800B22"/>
    <w:rsid w:val="008564DA"/>
    <w:rsid w:val="008F77DB"/>
    <w:rsid w:val="009D36CA"/>
    <w:rsid w:val="00A64711"/>
    <w:rsid w:val="00B31968"/>
    <w:rsid w:val="00B40A25"/>
    <w:rsid w:val="00B442BC"/>
    <w:rsid w:val="00CC1200"/>
    <w:rsid w:val="00DE4696"/>
    <w:rsid w:val="00EA225A"/>
    <w:rsid w:val="00EF1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A2C7E"/>
  <w15:chartTrackingRefBased/>
  <w15:docId w15:val="{5C347FB8-BF23-4748-B800-A54F5894B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69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00B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500BFE"/>
  </w:style>
  <w:style w:type="paragraph" w:styleId="a6">
    <w:name w:val="footer"/>
    <w:basedOn w:val="a"/>
    <w:link w:val="a7"/>
    <w:uiPriority w:val="99"/>
    <w:unhideWhenUsed/>
    <w:rsid w:val="00500BF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00BFE"/>
  </w:style>
  <w:style w:type="paragraph" w:styleId="a8">
    <w:name w:val="Balloon Text"/>
    <w:basedOn w:val="a"/>
    <w:link w:val="a9"/>
    <w:uiPriority w:val="99"/>
    <w:semiHidden/>
    <w:unhideWhenUsed/>
    <w:rsid w:val="007B54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B54B5"/>
    <w:rPr>
      <w:rFonts w:ascii="Segoe UI" w:hAnsi="Segoe UI" w:cs="Segoe UI"/>
      <w:sz w:val="18"/>
      <w:szCs w:val="18"/>
    </w:rPr>
  </w:style>
  <w:style w:type="paragraph" w:styleId="aa">
    <w:name w:val="footnote text"/>
    <w:basedOn w:val="a"/>
    <w:link w:val="ab"/>
    <w:uiPriority w:val="99"/>
    <w:semiHidden/>
    <w:unhideWhenUsed/>
    <w:rsid w:val="00B31968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semiHidden/>
    <w:rsid w:val="00B31968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319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71A71-CA5F-49CA-883F-D77E91DF4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4</Pages>
  <Words>7082</Words>
  <Characters>4037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8</cp:revision>
  <cp:lastPrinted>2020-07-15T11:13:00Z</cp:lastPrinted>
  <dcterms:created xsi:type="dcterms:W3CDTF">2020-07-14T09:14:00Z</dcterms:created>
  <dcterms:modified xsi:type="dcterms:W3CDTF">2020-07-17T08:53:00Z</dcterms:modified>
</cp:coreProperties>
</file>