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C0049" w:rsidRPr="00AD7F82" w:rsidTr="0069744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C0049" w:rsidRPr="00AD7F82" w:rsidRDefault="00CC0049" w:rsidP="00697440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21032F" w:rsidRDefault="00CC0049" w:rsidP="00697440">
            <w:pPr>
              <w:pStyle w:val="a5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D2B31FB" wp14:editId="6D29234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C0049" w:rsidRPr="00D22048" w:rsidRDefault="00CC0049" w:rsidP="00697440">
            <w:pPr>
              <w:pStyle w:val="a5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 інтеграції України з Європейським Союзом</w:t>
            </w:r>
          </w:p>
          <w:p w:rsidR="00CC0049" w:rsidRPr="009865D4" w:rsidRDefault="00CC0049" w:rsidP="00697440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b"/>
        <w:tblW w:w="11887" w:type="dxa"/>
        <w:tblInd w:w="-1134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C0049" w:rsidRPr="00053776" w:rsidTr="00697440">
        <w:tc>
          <w:tcPr>
            <w:tcW w:w="1087" w:type="dxa"/>
            <w:tcBorders>
              <w:top w:val="nil"/>
            </w:tcBorders>
          </w:tcPr>
          <w:p w:rsidR="00CC0049" w:rsidRPr="00053776" w:rsidRDefault="00CC0049" w:rsidP="00697440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9714" w:type="dxa"/>
          </w:tcPr>
          <w:p w:rsidR="00CC0049" w:rsidRPr="00053776" w:rsidRDefault="00CC0049" w:rsidP="00697440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C0049" w:rsidRPr="00053776" w:rsidRDefault="00CC0049" w:rsidP="00697440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</w:tr>
    </w:tbl>
    <w:p w:rsidR="008B0FBE" w:rsidRPr="004F75B0" w:rsidRDefault="00F7668B" w:rsidP="002F41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5B0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B96D39" w:rsidRPr="004F75B0" w:rsidRDefault="00F7668B" w:rsidP="004F75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5B0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  <w:r w:rsidR="004F75B0" w:rsidRPr="004F75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7958" w:rsidRPr="004F75B0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D30295" w:rsidRPr="004F75B0">
        <w:rPr>
          <w:rFonts w:ascii="Times New Roman" w:hAnsi="Times New Roman" w:cs="Times New Roman"/>
          <w:b/>
          <w:sz w:val="28"/>
          <w:szCs w:val="28"/>
        </w:rPr>
        <w:t>медіа</w:t>
      </w:r>
      <w:r w:rsidR="0057552D" w:rsidRPr="004F75B0">
        <w:rPr>
          <w:rFonts w:ascii="Times New Roman" w:hAnsi="Times New Roman" w:cs="Times New Roman"/>
          <w:b/>
          <w:sz w:val="28"/>
          <w:szCs w:val="28"/>
        </w:rPr>
        <w:t xml:space="preserve"> в Україні</w:t>
      </w:r>
    </w:p>
    <w:p w:rsidR="00F7668B" w:rsidRPr="004F75B0" w:rsidRDefault="00F7668B" w:rsidP="002F41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57552D" w:rsidRPr="004F75B0">
        <w:rPr>
          <w:rFonts w:ascii="Times New Roman" w:hAnsi="Times New Roman" w:cs="Times New Roman"/>
          <w:sz w:val="28"/>
          <w:szCs w:val="28"/>
        </w:rPr>
        <w:t>2693-2</w:t>
      </w:r>
      <w:r w:rsidRPr="004F75B0">
        <w:rPr>
          <w:rFonts w:ascii="Times New Roman" w:hAnsi="Times New Roman" w:cs="Times New Roman"/>
          <w:sz w:val="28"/>
          <w:szCs w:val="28"/>
        </w:rPr>
        <w:t xml:space="preserve"> від </w:t>
      </w:r>
      <w:r w:rsidR="0057552D" w:rsidRPr="004F75B0">
        <w:rPr>
          <w:rFonts w:ascii="Times New Roman" w:hAnsi="Times New Roman" w:cs="Times New Roman"/>
          <w:sz w:val="28"/>
          <w:szCs w:val="28"/>
        </w:rPr>
        <w:t>29</w:t>
      </w:r>
      <w:r w:rsidRPr="004F75B0">
        <w:rPr>
          <w:rFonts w:ascii="Times New Roman" w:hAnsi="Times New Roman" w:cs="Times New Roman"/>
          <w:sz w:val="28"/>
          <w:szCs w:val="28"/>
        </w:rPr>
        <w:t>.0</w:t>
      </w:r>
      <w:r w:rsidR="0057552D" w:rsidRPr="004F75B0">
        <w:rPr>
          <w:rFonts w:ascii="Times New Roman" w:hAnsi="Times New Roman" w:cs="Times New Roman"/>
          <w:sz w:val="28"/>
          <w:szCs w:val="28"/>
        </w:rPr>
        <w:t>5</w:t>
      </w:r>
      <w:r w:rsidRPr="004F75B0">
        <w:rPr>
          <w:rFonts w:ascii="Times New Roman" w:hAnsi="Times New Roman" w:cs="Times New Roman"/>
          <w:sz w:val="28"/>
          <w:szCs w:val="28"/>
        </w:rPr>
        <w:t>.2020,</w:t>
      </w:r>
      <w:r w:rsidR="0024458A" w:rsidRPr="004F75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52D" w:rsidRPr="004F75B0">
        <w:rPr>
          <w:rFonts w:ascii="Times New Roman" w:hAnsi="Times New Roman" w:cs="Times New Roman"/>
          <w:sz w:val="28"/>
          <w:szCs w:val="28"/>
        </w:rPr>
        <w:t>Княжицький</w:t>
      </w:r>
      <w:proofErr w:type="spellEnd"/>
      <w:r w:rsidR="0057552D" w:rsidRPr="004F75B0">
        <w:rPr>
          <w:rFonts w:ascii="Times New Roman" w:hAnsi="Times New Roman" w:cs="Times New Roman"/>
          <w:sz w:val="28"/>
          <w:szCs w:val="28"/>
        </w:rPr>
        <w:t xml:space="preserve"> М.Л., </w:t>
      </w:r>
      <w:proofErr w:type="spellStart"/>
      <w:r w:rsidR="0057552D" w:rsidRPr="004F75B0">
        <w:rPr>
          <w:rFonts w:ascii="Times New Roman" w:hAnsi="Times New Roman" w:cs="Times New Roman"/>
          <w:sz w:val="28"/>
          <w:szCs w:val="28"/>
        </w:rPr>
        <w:t>Алєксєєв</w:t>
      </w:r>
      <w:proofErr w:type="spellEnd"/>
      <w:r w:rsidR="0057552D" w:rsidRPr="004F75B0">
        <w:rPr>
          <w:rFonts w:ascii="Times New Roman" w:hAnsi="Times New Roman" w:cs="Times New Roman"/>
          <w:sz w:val="28"/>
          <w:szCs w:val="28"/>
        </w:rPr>
        <w:t xml:space="preserve"> С.О.</w:t>
      </w:r>
      <w:r w:rsidR="00237958" w:rsidRPr="004F75B0">
        <w:rPr>
          <w:rFonts w:ascii="Times New Roman" w:hAnsi="Times New Roman" w:cs="Times New Roman"/>
          <w:sz w:val="28"/>
          <w:szCs w:val="28"/>
        </w:rPr>
        <w:t xml:space="preserve"> та інші</w:t>
      </w:r>
      <w:r w:rsidRPr="004F75B0">
        <w:rPr>
          <w:rFonts w:ascii="Times New Roman" w:hAnsi="Times New Roman" w:cs="Times New Roman"/>
          <w:sz w:val="28"/>
          <w:szCs w:val="28"/>
        </w:rPr>
        <w:t>)</w:t>
      </w:r>
    </w:p>
    <w:p w:rsidR="00B86E61" w:rsidRPr="004F75B0" w:rsidRDefault="00B86E61" w:rsidP="002F417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0049" w:rsidRPr="004F75B0" w:rsidRDefault="00CC0049" w:rsidP="00F906A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Комітет розглянув проект Закону на своєму засіданні </w:t>
      </w:r>
      <w:r w:rsidR="00D30295" w:rsidRPr="009269A6">
        <w:rPr>
          <w:rFonts w:ascii="Times New Roman" w:hAnsi="Times New Roman" w:cs="Times New Roman"/>
          <w:sz w:val="28"/>
          <w:szCs w:val="28"/>
        </w:rPr>
        <w:t>14</w:t>
      </w:r>
      <w:r w:rsidRPr="009269A6">
        <w:rPr>
          <w:rFonts w:ascii="Times New Roman" w:hAnsi="Times New Roman" w:cs="Times New Roman"/>
          <w:sz w:val="28"/>
          <w:szCs w:val="28"/>
        </w:rPr>
        <w:t xml:space="preserve"> липня 2020 року</w:t>
      </w:r>
      <w:r w:rsidR="00D30295" w:rsidRPr="009269A6">
        <w:rPr>
          <w:rFonts w:ascii="Times New Roman" w:hAnsi="Times New Roman" w:cs="Times New Roman"/>
          <w:sz w:val="28"/>
          <w:szCs w:val="28"/>
        </w:rPr>
        <w:t xml:space="preserve"> (протокол № 41</w:t>
      </w:r>
      <w:r w:rsidRPr="009269A6">
        <w:rPr>
          <w:rFonts w:ascii="Times New Roman" w:hAnsi="Times New Roman" w:cs="Times New Roman"/>
          <w:sz w:val="28"/>
          <w:szCs w:val="28"/>
        </w:rPr>
        <w:t>)</w:t>
      </w:r>
      <w:r w:rsidRPr="004F75B0">
        <w:rPr>
          <w:rFonts w:ascii="Times New Roman" w:hAnsi="Times New Roman" w:cs="Times New Roman"/>
          <w:sz w:val="28"/>
          <w:szCs w:val="28"/>
        </w:rPr>
        <w:t xml:space="preserve"> відповідно до статті 93 Регламенту Верховної Ради України.</w:t>
      </w:r>
    </w:p>
    <w:p w:rsidR="00CC0049" w:rsidRPr="004F75B0" w:rsidRDefault="00CC0049" w:rsidP="00F906A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4F75B0" w:rsidRDefault="00F7668B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75B0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57552D" w:rsidRPr="004F75B0" w:rsidRDefault="0057552D" w:rsidP="0057552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Основною метою законопроекту,  як зазначено в пояснювальній записці до нього, є створення єдиної системи правових норм, спрямованих на регулювання правовідносин у сфері медіа, виконання Україною зобов’язань з Угоди про асоціацію, Європейською конвенцією про захист прав людини і основоположних свобод, інших міжнародних договорів. </w:t>
      </w:r>
    </w:p>
    <w:p w:rsidR="0057552D" w:rsidRPr="004F75B0" w:rsidRDefault="0057552D" w:rsidP="0057552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>Прийняття законопроекту має створити необхідні сучасні європейські умови для задоволення  інформаційних потреб громадян України, ефективного розвитку сфери надання аудіовізуальних медіа сервісів з використанням нових технологій.</w:t>
      </w:r>
    </w:p>
    <w:p w:rsidR="0057552D" w:rsidRPr="004F75B0" w:rsidRDefault="0057552D" w:rsidP="0057552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4F75B0" w:rsidRDefault="00F7668B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75B0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310E3E" w:rsidRPr="004F75B0" w:rsidRDefault="0024458A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>Проект Закону за предметом правово</w:t>
      </w:r>
      <w:r w:rsidR="008B7021" w:rsidRPr="004F75B0">
        <w:rPr>
          <w:rFonts w:ascii="Times New Roman" w:hAnsi="Times New Roman" w:cs="Times New Roman"/>
          <w:sz w:val="28"/>
          <w:szCs w:val="28"/>
        </w:rPr>
        <w:t xml:space="preserve">го регулювання </w:t>
      </w:r>
      <w:r w:rsidRPr="004F75B0">
        <w:rPr>
          <w:rFonts w:ascii="Times New Roman" w:hAnsi="Times New Roman" w:cs="Times New Roman"/>
          <w:sz w:val="28"/>
          <w:szCs w:val="28"/>
        </w:rPr>
        <w:t xml:space="preserve">охоплюється зобов’язаннями України передбаченими у рамках </w:t>
      </w:r>
      <w:r w:rsidR="00D30295" w:rsidRPr="004F75B0">
        <w:rPr>
          <w:rFonts w:ascii="Times New Roman" w:hAnsi="Times New Roman" w:cs="Times New Roman"/>
          <w:sz w:val="28"/>
          <w:szCs w:val="28"/>
        </w:rPr>
        <w:t>Глави 15 «Політика з питань аудіовізуальної галузі» Розділу V «Економічне та галузеве співробітництво»</w:t>
      </w:r>
      <w:r w:rsidRPr="004F75B0">
        <w:rPr>
          <w:rFonts w:ascii="Times New Roman" w:hAnsi="Times New Roman" w:cs="Times New Roman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1E3F1B" w:rsidRPr="004F75B0" w:rsidRDefault="001E3F1B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4F02" w:rsidRPr="004F75B0" w:rsidRDefault="008D4F02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75B0">
        <w:rPr>
          <w:rFonts w:ascii="Times New Roman" w:hAnsi="Times New Roman" w:cs="Times New Roman"/>
          <w:b/>
          <w:sz w:val="28"/>
          <w:szCs w:val="28"/>
        </w:rPr>
        <w:t>3. Відповідність законопроекту праву ЄС</w:t>
      </w:r>
    </w:p>
    <w:p w:rsidR="008D27D6" w:rsidRPr="004F75B0" w:rsidRDefault="008D27D6" w:rsidP="008D27D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>Законопроект реєстр. № 2693-2 про медіа в Україні є альтернативним до направленого 19 травня 2020 р. Верховною Радою України на повторне перше читання законопроекту реєстр. №2693 про медіа.</w:t>
      </w:r>
    </w:p>
    <w:p w:rsidR="008D27D6" w:rsidRPr="004F75B0" w:rsidRDefault="008D27D6" w:rsidP="008D27D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Законопроект доопрацьовано в порівнянні з основним, зокрема, в частині: уточнення визначення понять; </w:t>
      </w:r>
      <w:r w:rsidR="00CB1DEB">
        <w:rPr>
          <w:rFonts w:ascii="Times New Roman" w:hAnsi="Times New Roman" w:cs="Times New Roman"/>
          <w:sz w:val="28"/>
          <w:szCs w:val="28"/>
        </w:rPr>
        <w:t>порядку прийняття стратегії Національної ради;</w:t>
      </w:r>
      <w:r w:rsidR="00CB1DEB" w:rsidRPr="004F75B0">
        <w:rPr>
          <w:rFonts w:ascii="Times New Roman" w:hAnsi="Times New Roman" w:cs="Times New Roman"/>
          <w:sz w:val="28"/>
          <w:szCs w:val="28"/>
        </w:rPr>
        <w:t xml:space="preserve"> </w:t>
      </w:r>
      <w:r w:rsidRPr="004F75B0">
        <w:rPr>
          <w:rFonts w:ascii="Times New Roman" w:hAnsi="Times New Roman" w:cs="Times New Roman"/>
          <w:sz w:val="28"/>
          <w:szCs w:val="28"/>
        </w:rPr>
        <w:lastRenderedPageBreak/>
        <w:t>кола</w:t>
      </w:r>
      <w:r w:rsidR="00CB1DEB">
        <w:rPr>
          <w:rFonts w:ascii="Times New Roman" w:hAnsi="Times New Roman" w:cs="Times New Roman"/>
          <w:sz w:val="28"/>
          <w:szCs w:val="28"/>
        </w:rPr>
        <w:t xml:space="preserve"> суб’єктів у сфері онлайн-медіа; </w:t>
      </w:r>
      <w:r w:rsidRPr="004F75B0">
        <w:rPr>
          <w:rFonts w:ascii="Times New Roman" w:hAnsi="Times New Roman" w:cs="Times New Roman"/>
          <w:sz w:val="28"/>
          <w:szCs w:val="28"/>
        </w:rPr>
        <w:t>вимог у сфері аудіовізуальних медіа; дострокового припинення повноважень члена Національної ради; заходів реагування на порушення законодавства у сфері медіа та санкції за порушення законодавства у сфері медіа; особливостей розгляду питань щодо звернення до суду про заборону поширення медіа на території України; переліку осіб, які створюють загрозу національній безпеці.</w:t>
      </w:r>
    </w:p>
    <w:p w:rsidR="00FC0A46" w:rsidRPr="004F75B0" w:rsidRDefault="00FC0A46" w:rsidP="008D27D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Законопроектом забороняється цензура (частина третя статті 4 законопроекту), що повторює норми </w:t>
      </w:r>
      <w:r w:rsidR="000E3CD9" w:rsidRPr="004F75B0">
        <w:rPr>
          <w:rFonts w:ascii="Times New Roman" w:hAnsi="Times New Roman" w:cs="Times New Roman"/>
          <w:sz w:val="28"/>
          <w:szCs w:val="28"/>
        </w:rPr>
        <w:t>ста</w:t>
      </w:r>
      <w:r w:rsidRPr="004F75B0">
        <w:rPr>
          <w:rFonts w:ascii="Times New Roman" w:hAnsi="Times New Roman" w:cs="Times New Roman"/>
          <w:sz w:val="28"/>
          <w:szCs w:val="28"/>
        </w:rPr>
        <w:t>т</w:t>
      </w:r>
      <w:r w:rsidR="000E3CD9" w:rsidRPr="004F75B0">
        <w:rPr>
          <w:rFonts w:ascii="Times New Roman" w:hAnsi="Times New Roman" w:cs="Times New Roman"/>
          <w:sz w:val="28"/>
          <w:szCs w:val="28"/>
        </w:rPr>
        <w:t>е</w:t>
      </w:r>
      <w:r w:rsidR="000E3CD9" w:rsidRPr="004F75B0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4F75B0">
        <w:rPr>
          <w:rFonts w:ascii="Times New Roman" w:hAnsi="Times New Roman" w:cs="Times New Roman"/>
          <w:sz w:val="28"/>
          <w:szCs w:val="28"/>
        </w:rPr>
        <w:t xml:space="preserve"> 15</w:t>
      </w:r>
      <w:r w:rsidR="000E3CD9" w:rsidRPr="004F75B0">
        <w:rPr>
          <w:rFonts w:ascii="Times New Roman" w:hAnsi="Times New Roman" w:cs="Times New Roman"/>
          <w:sz w:val="28"/>
          <w:szCs w:val="28"/>
          <w:lang w:val="ru-RU"/>
        </w:rPr>
        <w:t xml:space="preserve"> та 34</w:t>
      </w:r>
      <w:r w:rsidRPr="004F75B0">
        <w:rPr>
          <w:rFonts w:ascii="Times New Roman" w:hAnsi="Times New Roman" w:cs="Times New Roman"/>
          <w:sz w:val="28"/>
          <w:szCs w:val="28"/>
        </w:rPr>
        <w:t xml:space="preserve"> Конституції України та відповідає положенням статті 10 Конвенції про захист прав людини і основоположних свобод, якою передбачено, що кожен має право на свободу вираження поглядів. Це право включає свободу дотримуватися своїх поглядів, одержувати і передавати інформацію та ідеї без втручання органів державної влади і незалежно від кордонів.</w:t>
      </w:r>
    </w:p>
    <w:p w:rsidR="00C64F13" w:rsidRPr="004F75B0" w:rsidRDefault="00C64F13" w:rsidP="0011155A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4F75B0">
        <w:rPr>
          <w:rFonts w:ascii="Times New Roman" w:eastAsia="Times New Roman" w:hAnsi="Times New Roman" w:cs="Times New Roman"/>
          <w:sz w:val="28"/>
          <w:szCs w:val="28"/>
          <w:lang w:eastAsia="ru-RU"/>
        </w:rPr>
        <w:t>aquis</w:t>
      </w:r>
      <w:proofErr w:type="spellEnd"/>
      <w:r w:rsidRPr="004F7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1E3F1B" w:rsidRPr="004F75B0" w:rsidRDefault="00377C98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Pr="004F75B0">
        <w:rPr>
          <w:rFonts w:ascii="Times New Roman" w:hAnsi="Times New Roman" w:cs="Times New Roman"/>
          <w:i/>
          <w:sz w:val="28"/>
          <w:szCs w:val="28"/>
        </w:rPr>
        <w:t>статті 396 Угоди про асоціацію</w:t>
      </w:r>
      <w:r w:rsidRPr="004F75B0">
        <w:rPr>
          <w:rFonts w:ascii="Times New Roman" w:hAnsi="Times New Roman" w:cs="Times New Roman"/>
          <w:sz w:val="28"/>
          <w:szCs w:val="28"/>
        </w:rPr>
        <w:t xml:space="preserve"> Сторони здійснюють співробітництво з метою просування аудіовізуальної галузі в Європі та заохочення спільного виробництва у галузі кінематографії та телебачення. Співробітництво може включати, </w:t>
      </w:r>
      <w:proofErr w:type="spellStart"/>
      <w:r w:rsidRPr="004F75B0">
        <w:rPr>
          <w:rFonts w:ascii="Times New Roman" w:hAnsi="Times New Roman" w:cs="Times New Roman"/>
          <w:sz w:val="28"/>
          <w:szCs w:val="28"/>
        </w:rPr>
        <w:t>inter</w:t>
      </w:r>
      <w:proofErr w:type="spellEnd"/>
      <w:r w:rsidRPr="004F75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5B0">
        <w:rPr>
          <w:rFonts w:ascii="Times New Roman" w:hAnsi="Times New Roman" w:cs="Times New Roman"/>
          <w:sz w:val="28"/>
          <w:szCs w:val="28"/>
        </w:rPr>
        <w:t>alia</w:t>
      </w:r>
      <w:proofErr w:type="spellEnd"/>
      <w:r w:rsidRPr="004F75B0">
        <w:rPr>
          <w:rFonts w:ascii="Times New Roman" w:hAnsi="Times New Roman" w:cs="Times New Roman"/>
          <w:sz w:val="28"/>
          <w:szCs w:val="28"/>
        </w:rPr>
        <w:t>, питання підготовки журналістів та інших працівників медіа-сфери, як друкованих, так і електронних видань, а також питання підтримки засобів масової інформації (громадських і приватних), з метою посилення їхньої незалежності, професіоналізму та зв’язків з іншими європейськими ЗМІ відповідно до європейських стандартів, зокрема стандартів Ради Європи.</w:t>
      </w:r>
    </w:p>
    <w:p w:rsidR="00377C98" w:rsidRPr="004F75B0" w:rsidRDefault="00377C98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>Поступове наближення до права та нормативно-правової бази ЄС, а також міжнародних правових документів у сфері політики з питань аудіовізуальної галузі буде здійснюватися, зокрема, як визначено у Додатку XXXVIІ до цієї Угоди (стаття 397 Угоди про асоціацію).</w:t>
      </w:r>
    </w:p>
    <w:p w:rsidR="00550B14" w:rsidRPr="004F75B0" w:rsidRDefault="00550B14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>Додатком XXXVII до Угоди про асоціацію передбачено імплементацію Директиви № 2007/65/ЄС від 11.12.2007 про аудіовізуальні медіа-послуги, що вносить зміни та доповнення до Директиви Ради № 89/552/ЄЕС про координацію деяких положень, визначених законодавством, нормативно-правовими чи адміністративними актами в державах-членах щодо ведення телерадіомовної діяльності, і скасовані Директивою № 2010/13/ЄС Європейського Парламенту та Ради від 10 березня 2010 року про узгодження деяких положень, встановлених законом, правилами або адміністративними діями у державах-членах, що стосуються надання ауді</w:t>
      </w:r>
      <w:r w:rsidR="00377C98" w:rsidRPr="004F75B0">
        <w:rPr>
          <w:rFonts w:ascii="Times New Roman" w:hAnsi="Times New Roman" w:cs="Times New Roman"/>
          <w:sz w:val="28"/>
          <w:szCs w:val="28"/>
        </w:rPr>
        <w:t>овізуальних медіа-послуг</w:t>
      </w:r>
      <w:r w:rsidR="001E1700" w:rsidRPr="004F75B0">
        <w:rPr>
          <w:rFonts w:ascii="Times New Roman" w:hAnsi="Times New Roman" w:cs="Times New Roman"/>
          <w:sz w:val="28"/>
          <w:szCs w:val="28"/>
        </w:rPr>
        <w:t xml:space="preserve"> (в редакції Директиви № 2018/1808/ЄС, OJ L 303, 28.11.2018, p. 69–92) </w:t>
      </w:r>
      <w:r w:rsidR="00377C98" w:rsidRPr="004F75B0">
        <w:rPr>
          <w:rFonts w:ascii="Times New Roman" w:hAnsi="Times New Roman" w:cs="Times New Roman"/>
          <w:sz w:val="28"/>
          <w:szCs w:val="28"/>
        </w:rPr>
        <w:t xml:space="preserve">(далі – Директива </w:t>
      </w:r>
      <w:r w:rsidRPr="004F75B0">
        <w:rPr>
          <w:rFonts w:ascii="Times New Roman" w:hAnsi="Times New Roman" w:cs="Times New Roman"/>
          <w:sz w:val="28"/>
          <w:szCs w:val="28"/>
        </w:rPr>
        <w:t>2010/13/ЄС).</w:t>
      </w:r>
    </w:p>
    <w:p w:rsidR="000E3CD9" w:rsidRPr="004F75B0" w:rsidRDefault="000E3CD9" w:rsidP="000E3CD9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lastRenderedPageBreak/>
        <w:t xml:space="preserve">Положення проекту Закону в цілому відповідають меті Директиви  2010/13/ЄС  щодо створення та забезпечення належного функціонування ринку аудіовізуальних медіа-послуг, функціонування національного регуляторного органу, запровадження спільного регулювання у сфері медіа, сприяння культурному різноманіттю, просування та вжиття заходів із розвитку навичок </w:t>
      </w:r>
      <w:proofErr w:type="spellStart"/>
      <w:r w:rsidRPr="004F75B0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4F75B0">
        <w:rPr>
          <w:rFonts w:ascii="Times New Roman" w:hAnsi="Times New Roman" w:cs="Times New Roman"/>
          <w:sz w:val="28"/>
          <w:szCs w:val="28"/>
        </w:rPr>
        <w:t>.</w:t>
      </w:r>
    </w:p>
    <w:p w:rsidR="000E3CD9" w:rsidRPr="004F75B0" w:rsidRDefault="000E3CD9" w:rsidP="000E3CD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той же час, положення статей 25-27 законопроекту не повною мірою враховують вимоги частини 2 статті 5 Директиви 2010/13/ЄС, що провайдери </w:t>
      </w:r>
      <w:proofErr w:type="spellStart"/>
      <w:r w:rsidRPr="004F75B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медіапослуг</w:t>
      </w:r>
      <w:proofErr w:type="spellEnd"/>
      <w:r w:rsidRPr="004F7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які перебувають під юрисдикцією держав-учасниць, надають доступ до інформації про свою структуру власності, у тому числі про </w:t>
      </w:r>
      <w:proofErr w:type="spellStart"/>
      <w:r w:rsidRPr="004F75B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бенефіціарних</w:t>
      </w:r>
      <w:proofErr w:type="spellEnd"/>
      <w:r w:rsidRPr="004F7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власників. </w:t>
      </w:r>
      <w:r w:rsidRPr="004F75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Такі заходи мають забезпечувати дотримання фундаментальних прав, зокрема на приватне й сімейне життя </w:t>
      </w:r>
      <w:proofErr w:type="spellStart"/>
      <w:r w:rsidRPr="004F75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бенефіціарних</w:t>
      </w:r>
      <w:proofErr w:type="spellEnd"/>
      <w:r w:rsidRPr="004F75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власників.</w:t>
      </w:r>
      <w:r w:rsidRPr="004F7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Такі заходи мають бути необхідними та пропорційними, а також спрямовуватися на досягнення мети із забезпечення загального інтересу.</w:t>
      </w:r>
    </w:p>
    <w:p w:rsidR="000E3CD9" w:rsidRPr="004F75B0" w:rsidRDefault="000E3CD9" w:rsidP="000E3CD9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Положеннями частини другої статті 6а Директиви 2010/13/ЄС визначено, що персональні дані неповнолітніх, зібрані чи іншим чином отримані провайдерами </w:t>
      </w:r>
      <w:proofErr w:type="spellStart"/>
      <w:r w:rsidRPr="004F75B0">
        <w:rPr>
          <w:rFonts w:ascii="Times New Roman" w:hAnsi="Times New Roman" w:cs="Times New Roman"/>
          <w:sz w:val="28"/>
          <w:szCs w:val="28"/>
        </w:rPr>
        <w:t>медіапослуг</w:t>
      </w:r>
      <w:proofErr w:type="spellEnd"/>
      <w:r w:rsidRPr="004F75B0">
        <w:rPr>
          <w:rFonts w:ascii="Times New Roman" w:hAnsi="Times New Roman" w:cs="Times New Roman"/>
          <w:sz w:val="28"/>
          <w:szCs w:val="28"/>
        </w:rPr>
        <w:t xml:space="preserve">, забороняється опрацьовувати з комерційною метою, зокрема для прямого маркетингу, профілювання та поведінкової реклами. </w:t>
      </w:r>
      <w:r w:rsidRPr="004F75B0">
        <w:rPr>
          <w:rFonts w:ascii="Times New Roman" w:hAnsi="Times New Roman" w:cs="Times New Roman"/>
          <w:i/>
          <w:sz w:val="28"/>
          <w:szCs w:val="28"/>
        </w:rPr>
        <w:t>Такі гарантії не враховано в положеннях законопроекту.</w:t>
      </w:r>
    </w:p>
    <w:p w:rsidR="000E3CD9" w:rsidRPr="004F75B0" w:rsidRDefault="000E3CD9" w:rsidP="000E3CD9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 Частиною п’ятою статті 7 Директиви 2010/13/ЄС передбачено, що держави-учасниці повинні забезпечити, що надання інформації про надзвичайні події, в тому числі публічні повідомлення та оголошення під час стихійних лих, що стають відомими громадськості через аудіовізуальні </w:t>
      </w:r>
      <w:proofErr w:type="spellStart"/>
      <w:r w:rsidRPr="004F75B0">
        <w:rPr>
          <w:rFonts w:ascii="Times New Roman" w:hAnsi="Times New Roman" w:cs="Times New Roman"/>
          <w:sz w:val="28"/>
          <w:szCs w:val="28"/>
        </w:rPr>
        <w:t>медіапослуги</w:t>
      </w:r>
      <w:proofErr w:type="spellEnd"/>
      <w:r w:rsidRPr="004F75B0">
        <w:rPr>
          <w:rFonts w:ascii="Times New Roman" w:hAnsi="Times New Roman" w:cs="Times New Roman"/>
          <w:sz w:val="28"/>
          <w:szCs w:val="28"/>
        </w:rPr>
        <w:t>, повинне відбуватися у спосіб, доступний для осіб з інвалідністю.</w:t>
      </w:r>
      <w:r w:rsidRPr="004F75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75B0">
        <w:rPr>
          <w:rFonts w:ascii="Times New Roman" w:hAnsi="Times New Roman" w:cs="Times New Roman"/>
          <w:i/>
          <w:sz w:val="28"/>
          <w:szCs w:val="28"/>
        </w:rPr>
        <w:t>Норми, якими врегульовується зазначене питання відсутні в законопроекті.</w:t>
      </w:r>
    </w:p>
    <w:p w:rsidR="000E3CD9" w:rsidRPr="004F75B0" w:rsidRDefault="000E3CD9" w:rsidP="000E3CD9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Відповідно до статті 8 Директиви 2010/13/ЄС держави-учасниці повинні забезпечити, щоб провайдери </w:t>
      </w:r>
      <w:proofErr w:type="spellStart"/>
      <w:r w:rsidRPr="004F75B0">
        <w:rPr>
          <w:rFonts w:ascii="Times New Roman" w:hAnsi="Times New Roman" w:cs="Times New Roman"/>
          <w:sz w:val="28"/>
          <w:szCs w:val="28"/>
        </w:rPr>
        <w:t>медіапослуг</w:t>
      </w:r>
      <w:proofErr w:type="spellEnd"/>
      <w:r w:rsidRPr="004F75B0">
        <w:rPr>
          <w:rFonts w:ascii="Times New Roman" w:hAnsi="Times New Roman" w:cs="Times New Roman"/>
          <w:sz w:val="28"/>
          <w:szCs w:val="28"/>
        </w:rPr>
        <w:t xml:space="preserve">, які перебувають під їхньою юрисдикцією, не транслювали кінематографічні твори у строки, що перевищують строки, визначені з правовласниками. </w:t>
      </w:r>
      <w:r w:rsidRPr="004F75B0">
        <w:rPr>
          <w:rFonts w:ascii="Times New Roman" w:hAnsi="Times New Roman" w:cs="Times New Roman"/>
          <w:i/>
          <w:sz w:val="28"/>
          <w:szCs w:val="28"/>
        </w:rPr>
        <w:t>Такі гарантії відсутні в нормах законопроекту.</w:t>
      </w:r>
    </w:p>
    <w:p w:rsidR="000E3CD9" w:rsidRPr="004F75B0" w:rsidRDefault="000E3CD9" w:rsidP="000E3CD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Статтею 9 Директиви 2010/13/ЄС заборонено всі форми аудіовізуальних комерційних повідомлень про сигарети та інші тютюнові вироби, а також електронні сигарети і заправні контейнери, забороняється спеціально спрямовувати аудіовізуальні комерційні повідомлення про алкогольні напої на неповнолітніх, а також заохочувати надмірне споживання таких напоїв, </w:t>
      </w:r>
      <w:r w:rsidRPr="004F75B0">
        <w:rPr>
          <w:rFonts w:ascii="Times New Roman" w:hAnsi="Times New Roman" w:cs="Times New Roman"/>
          <w:i/>
          <w:sz w:val="28"/>
          <w:szCs w:val="28"/>
        </w:rPr>
        <w:t>що не враховано в положеннях законопроекту.</w:t>
      </w:r>
    </w:p>
    <w:p w:rsidR="000E3CD9" w:rsidRPr="004F75B0" w:rsidRDefault="000E3CD9" w:rsidP="000E3CD9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5B0">
        <w:rPr>
          <w:rFonts w:ascii="Times New Roman" w:hAnsi="Times New Roman" w:cs="Times New Roman"/>
          <w:sz w:val="28"/>
          <w:szCs w:val="28"/>
        </w:rPr>
        <w:t xml:space="preserve">Нормами статті 21 Директиви 2010/13/ЄС заборонено </w:t>
      </w:r>
      <w:proofErr w:type="spellStart"/>
      <w:r w:rsidRPr="004F75B0">
        <w:rPr>
          <w:rFonts w:ascii="Times New Roman" w:hAnsi="Times New Roman" w:cs="Times New Roman"/>
          <w:sz w:val="28"/>
          <w:szCs w:val="28"/>
        </w:rPr>
        <w:t>телепродаж</w:t>
      </w:r>
      <w:proofErr w:type="spellEnd"/>
      <w:r w:rsidRPr="004F75B0">
        <w:rPr>
          <w:rFonts w:ascii="Times New Roman" w:hAnsi="Times New Roman" w:cs="Times New Roman"/>
          <w:sz w:val="28"/>
          <w:szCs w:val="28"/>
        </w:rPr>
        <w:t xml:space="preserve"> лікарських препаратів, що підлягають маркетинговій авторизації у розумінні </w:t>
      </w:r>
      <w:r w:rsidRPr="004F75B0">
        <w:rPr>
          <w:rFonts w:ascii="Times New Roman" w:hAnsi="Times New Roman" w:cs="Times New Roman"/>
          <w:sz w:val="28"/>
          <w:szCs w:val="28"/>
        </w:rPr>
        <w:lastRenderedPageBreak/>
        <w:t xml:space="preserve">Директиви 2001/83/EC, а також </w:t>
      </w:r>
      <w:proofErr w:type="spellStart"/>
      <w:r w:rsidRPr="004F75B0">
        <w:rPr>
          <w:rFonts w:ascii="Times New Roman" w:hAnsi="Times New Roman" w:cs="Times New Roman"/>
          <w:sz w:val="28"/>
          <w:szCs w:val="28"/>
        </w:rPr>
        <w:t>телепродаж</w:t>
      </w:r>
      <w:proofErr w:type="spellEnd"/>
      <w:r w:rsidRPr="004F75B0">
        <w:rPr>
          <w:rFonts w:ascii="Times New Roman" w:hAnsi="Times New Roman" w:cs="Times New Roman"/>
          <w:sz w:val="28"/>
          <w:szCs w:val="28"/>
        </w:rPr>
        <w:t xml:space="preserve"> медичного лікування. </w:t>
      </w:r>
      <w:r w:rsidRPr="004F75B0">
        <w:rPr>
          <w:rFonts w:ascii="Times New Roman" w:hAnsi="Times New Roman" w:cs="Times New Roman"/>
          <w:i/>
          <w:sz w:val="28"/>
          <w:szCs w:val="28"/>
        </w:rPr>
        <w:t>Така норма відсутня в законопроекті.</w:t>
      </w:r>
    </w:p>
    <w:p w:rsidR="000E3CD9" w:rsidRPr="008C0467" w:rsidRDefault="000E3CD9" w:rsidP="000E3CD9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Частиною третьою статті 30 Директиви 2010/13/ЄС визначено, що д</w:t>
      </w:r>
      <w:r w:rsidRPr="008C0467">
        <w:rPr>
          <w:rFonts w:ascii="Times New Roman" w:hAnsi="Times New Roman" w:cs="Times New Roman"/>
          <w:sz w:val="28"/>
          <w:szCs w:val="28"/>
        </w:rPr>
        <w:t xml:space="preserve">ержави-учасниці повинні забезпечити </w:t>
      </w:r>
      <w:r w:rsidRPr="008C0467">
        <w:rPr>
          <w:rFonts w:ascii="Times New Roman" w:hAnsi="Times New Roman" w:cs="Times New Roman"/>
          <w:sz w:val="28"/>
          <w:szCs w:val="28"/>
          <w:u w:val="single"/>
        </w:rPr>
        <w:t>чітке</w:t>
      </w:r>
      <w:r w:rsidRPr="008C0467">
        <w:rPr>
          <w:rFonts w:ascii="Times New Roman" w:hAnsi="Times New Roman" w:cs="Times New Roman"/>
          <w:sz w:val="28"/>
          <w:szCs w:val="28"/>
        </w:rPr>
        <w:t xml:space="preserve"> визначення у законодавстві компетенції та повноважень національних регуляторних установ чи органів, а також способи їхньої підзвітності.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467">
        <w:rPr>
          <w:rFonts w:ascii="Times New Roman" w:hAnsi="Times New Roman" w:cs="Times New Roman"/>
          <w:i/>
          <w:sz w:val="28"/>
          <w:szCs w:val="28"/>
        </w:rPr>
        <w:t>В той  же час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="004F75B0">
        <w:rPr>
          <w:rFonts w:ascii="Times New Roman" w:hAnsi="Times New Roman" w:cs="Times New Roman"/>
          <w:i/>
          <w:sz w:val="28"/>
          <w:szCs w:val="28"/>
        </w:rPr>
        <w:t xml:space="preserve"> в статті 88</w:t>
      </w:r>
      <w:r w:rsidRPr="008C0467">
        <w:rPr>
          <w:rFonts w:ascii="Times New Roman" w:hAnsi="Times New Roman" w:cs="Times New Roman"/>
          <w:i/>
          <w:sz w:val="28"/>
          <w:szCs w:val="28"/>
        </w:rPr>
        <w:t xml:space="preserve"> законопроекту </w:t>
      </w:r>
      <w:r>
        <w:rPr>
          <w:rFonts w:ascii="Times New Roman" w:hAnsi="Times New Roman" w:cs="Times New Roman"/>
          <w:i/>
          <w:sz w:val="28"/>
          <w:szCs w:val="28"/>
        </w:rPr>
        <w:t xml:space="preserve">наведено </w:t>
      </w:r>
      <w:r w:rsidRPr="008C0467">
        <w:rPr>
          <w:rFonts w:ascii="Times New Roman" w:hAnsi="Times New Roman" w:cs="Times New Roman"/>
          <w:i/>
          <w:sz w:val="28"/>
          <w:szCs w:val="28"/>
        </w:rPr>
        <w:t>перелік повноважень Національної ради</w:t>
      </w:r>
      <w:r w:rsidRPr="008C0467">
        <w:t xml:space="preserve"> </w:t>
      </w:r>
      <w:r w:rsidRPr="008C0467">
        <w:rPr>
          <w:rFonts w:ascii="Times New Roman" w:hAnsi="Times New Roman" w:cs="Times New Roman"/>
          <w:i/>
          <w:sz w:val="28"/>
          <w:szCs w:val="28"/>
        </w:rPr>
        <w:t>України з питань телебачення і радіомовлення</w:t>
      </w:r>
      <w:r>
        <w:rPr>
          <w:rFonts w:ascii="Times New Roman" w:hAnsi="Times New Roman" w:cs="Times New Roman"/>
          <w:i/>
          <w:sz w:val="28"/>
          <w:szCs w:val="28"/>
        </w:rPr>
        <w:t>, який не є вичерпним.</w:t>
      </w:r>
    </w:p>
    <w:p w:rsidR="000E3CD9" w:rsidRDefault="000E3CD9" w:rsidP="000E3CD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Додатково необхідно зазначити, що в Рекомендаціях</w:t>
      </w:r>
      <w:r w:rsidRPr="00BC7AD8">
        <w:rPr>
          <w:rFonts w:ascii="Times New Roman" w:hAnsi="Times New Roman" w:cs="Times New Roman"/>
          <w:sz w:val="28"/>
          <w:szCs w:val="28"/>
        </w:rPr>
        <w:t xml:space="preserve"> Комітету Міністрів Ради Європи (2011)7 щодо нового визначення медіа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C7AD8">
        <w:rPr>
          <w:rFonts w:ascii="Times New Roman" w:hAnsi="Times New Roman" w:cs="Times New Roman"/>
          <w:sz w:val="28"/>
          <w:szCs w:val="28"/>
        </w:rPr>
        <w:t>міст</w:t>
      </w:r>
      <w:r>
        <w:rPr>
          <w:rFonts w:ascii="Times New Roman" w:hAnsi="Times New Roman" w:cs="Times New Roman"/>
          <w:sz w:val="28"/>
          <w:szCs w:val="28"/>
        </w:rPr>
        <w:t>яться</w:t>
      </w:r>
      <w:r w:rsidRPr="00BC7AD8">
        <w:rPr>
          <w:rFonts w:ascii="Times New Roman" w:hAnsi="Times New Roman" w:cs="Times New Roman"/>
          <w:sz w:val="28"/>
          <w:szCs w:val="28"/>
        </w:rPr>
        <w:t xml:space="preserve"> досить чіткі критерії щодо віднесення певної діяльності, послуг чи утворень до медіа, враховуючи новітні реалії.</w:t>
      </w:r>
    </w:p>
    <w:p w:rsidR="00F00574" w:rsidRPr="0034063E" w:rsidRDefault="00F00574" w:rsidP="000E3CD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0574">
        <w:rPr>
          <w:rFonts w:ascii="Times New Roman" w:hAnsi="Times New Roman" w:cs="Times New Roman"/>
          <w:sz w:val="28"/>
          <w:szCs w:val="28"/>
        </w:rPr>
        <w:t>Також необхідно зазначити, що Директива 2010/13/ЄС не врегульовує питання діяльності друкованих та онлайн-медіа.</w:t>
      </w:r>
    </w:p>
    <w:p w:rsidR="000E3CD9" w:rsidRDefault="000E3CD9" w:rsidP="000E3CD9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002D4E" w:rsidRDefault="00002D4E" w:rsidP="00002D4E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огляду на зазначене, проект Закону </w:t>
      </w:r>
      <w:r w:rsidRPr="002D54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метою не суперечить</w:t>
      </w:r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54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зобов’язанням України відповідно до Угоди про асоціацію,</w:t>
      </w:r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54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 потребує доопрацювання, оскільки не повною мірою враховує положення Директиви 2010/13/ЄС</w:t>
      </w:r>
      <w:r w:rsidR="003406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063E" w:rsidRPr="003406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редакції Директиви № 2018/1808/ЄС (OJ L 303, 28.11.2018, p. 69–92)</w:t>
      </w:r>
      <w:bookmarkStart w:id="0" w:name="_GoBack"/>
      <w:bookmarkEnd w:id="0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зокрема, в частині визначення повноважень національного регуляторного органу; сприяння більш широкому доступу осіб з інвалідністю до послуг, що надаються провайдерами </w:t>
      </w:r>
      <w:proofErr w:type="spellStart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медіапослуг</w:t>
      </w:r>
      <w:proofErr w:type="spellEnd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заборони обробляти персональні дані неповнолітніх, зібрані чи іншим чином отримані провайдерами з комерційною метою, в </w:t>
      </w:r>
      <w:proofErr w:type="spellStart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прямого маркетингу, профілювання та поведінкової </w:t>
      </w:r>
      <w:proofErr w:type="spellStart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таргетованої</w:t>
      </w:r>
      <w:proofErr w:type="spellEnd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реклами.</w:t>
      </w:r>
    </w:p>
    <w:p w:rsidR="00BC7AD8" w:rsidRDefault="00BC7AD8" w:rsidP="000E3CD9">
      <w:pPr>
        <w:spacing w:after="0" w:line="276" w:lineRule="auto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945788" w:rsidRDefault="00945788" w:rsidP="000E3CD9">
      <w:pPr>
        <w:spacing w:after="0" w:line="276" w:lineRule="auto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945788" w:rsidRPr="00BC7AD8" w:rsidRDefault="00945788" w:rsidP="0094578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485A">
        <w:rPr>
          <w:rFonts w:ascii="Times New Roman" w:hAnsi="Times New Roman" w:cs="Times New Roman"/>
          <w:b/>
          <w:sz w:val="28"/>
          <w:szCs w:val="28"/>
        </w:rPr>
        <w:t>Голова Комітету                                               І.О. КЛИМПУШ-ЦИНЦАДЗЕ</w:t>
      </w:r>
    </w:p>
    <w:p w:rsidR="00C64F13" w:rsidRPr="00BC7AD8" w:rsidRDefault="00C64F13" w:rsidP="00BC7AD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C64F13" w:rsidRPr="00BC7AD8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877" w:rsidRDefault="00B22877" w:rsidP="008A5974">
      <w:pPr>
        <w:spacing w:after="0" w:line="240" w:lineRule="auto"/>
      </w:pPr>
      <w:r>
        <w:separator/>
      </w:r>
    </w:p>
  </w:endnote>
  <w:endnote w:type="continuationSeparator" w:id="0">
    <w:p w:rsidR="00B22877" w:rsidRDefault="00B22877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877" w:rsidRDefault="00B22877" w:rsidP="008A5974">
      <w:pPr>
        <w:spacing w:after="0" w:line="240" w:lineRule="auto"/>
      </w:pPr>
      <w:r>
        <w:separator/>
      </w:r>
    </w:p>
  </w:footnote>
  <w:footnote w:type="continuationSeparator" w:id="0">
    <w:p w:rsidR="00B22877" w:rsidRDefault="00B22877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063E">
          <w:rPr>
            <w:noProof/>
          </w:rPr>
          <w:t>4</w:t>
        </w:r>
        <w:r>
          <w:fldChar w:fldCharType="end"/>
        </w:r>
      </w:p>
    </w:sdtContent>
  </w:sdt>
  <w:p w:rsidR="008A5974" w:rsidRDefault="008A59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5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0CA5058"/>
    <w:multiLevelType w:val="hybridMultilevel"/>
    <w:tmpl w:val="DD023D30"/>
    <w:lvl w:ilvl="0" w:tplc="4D60D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2"/>
  </w:num>
  <w:num w:numId="4">
    <w:abstractNumId w:val="5"/>
  </w:num>
  <w:num w:numId="5">
    <w:abstractNumId w:val="11"/>
  </w:num>
  <w:num w:numId="6">
    <w:abstractNumId w:val="4"/>
  </w:num>
  <w:num w:numId="7">
    <w:abstractNumId w:val="6"/>
  </w:num>
  <w:num w:numId="8">
    <w:abstractNumId w:val="3"/>
  </w:num>
  <w:num w:numId="9">
    <w:abstractNumId w:val="7"/>
  </w:num>
  <w:num w:numId="10">
    <w:abstractNumId w:val="12"/>
  </w:num>
  <w:num w:numId="11">
    <w:abstractNumId w:val="9"/>
  </w:num>
  <w:num w:numId="12">
    <w:abstractNumId w:val="0"/>
  </w:num>
  <w:num w:numId="13">
    <w:abstractNumId w:val="8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02D4E"/>
    <w:rsid w:val="000350A4"/>
    <w:rsid w:val="000404FC"/>
    <w:rsid w:val="00042672"/>
    <w:rsid w:val="00045A57"/>
    <w:rsid w:val="000713E8"/>
    <w:rsid w:val="00090188"/>
    <w:rsid w:val="0009456C"/>
    <w:rsid w:val="000A6EB1"/>
    <w:rsid w:val="000C0C7F"/>
    <w:rsid w:val="000C2FCA"/>
    <w:rsid w:val="000E3CD9"/>
    <w:rsid w:val="000E4390"/>
    <w:rsid w:val="000F788B"/>
    <w:rsid w:val="00105F68"/>
    <w:rsid w:val="0011155A"/>
    <w:rsid w:val="0011284D"/>
    <w:rsid w:val="0012685C"/>
    <w:rsid w:val="0013359B"/>
    <w:rsid w:val="001420B5"/>
    <w:rsid w:val="001423BE"/>
    <w:rsid w:val="0016128F"/>
    <w:rsid w:val="00165313"/>
    <w:rsid w:val="00172243"/>
    <w:rsid w:val="00181763"/>
    <w:rsid w:val="00186931"/>
    <w:rsid w:val="00196CBA"/>
    <w:rsid w:val="001B1E02"/>
    <w:rsid w:val="001B4B66"/>
    <w:rsid w:val="001C5F6A"/>
    <w:rsid w:val="001C7070"/>
    <w:rsid w:val="001D201A"/>
    <w:rsid w:val="001D76B2"/>
    <w:rsid w:val="001E1700"/>
    <w:rsid w:val="001E3F1B"/>
    <w:rsid w:val="001E5D0B"/>
    <w:rsid w:val="001F6E5A"/>
    <w:rsid w:val="00214D39"/>
    <w:rsid w:val="00221FA1"/>
    <w:rsid w:val="0022520C"/>
    <w:rsid w:val="00237958"/>
    <w:rsid w:val="0024458A"/>
    <w:rsid w:val="00275CFB"/>
    <w:rsid w:val="00283B93"/>
    <w:rsid w:val="00285458"/>
    <w:rsid w:val="00285853"/>
    <w:rsid w:val="0029087B"/>
    <w:rsid w:val="00293717"/>
    <w:rsid w:val="00293F12"/>
    <w:rsid w:val="0029766D"/>
    <w:rsid w:val="002A6059"/>
    <w:rsid w:val="002B446C"/>
    <w:rsid w:val="002F417B"/>
    <w:rsid w:val="00310819"/>
    <w:rsid w:val="00310E3E"/>
    <w:rsid w:val="003126AB"/>
    <w:rsid w:val="003207EC"/>
    <w:rsid w:val="00325678"/>
    <w:rsid w:val="0034063E"/>
    <w:rsid w:val="003417C7"/>
    <w:rsid w:val="0035170C"/>
    <w:rsid w:val="00356995"/>
    <w:rsid w:val="00360895"/>
    <w:rsid w:val="00377C98"/>
    <w:rsid w:val="00384409"/>
    <w:rsid w:val="003C7FD5"/>
    <w:rsid w:val="003D49F6"/>
    <w:rsid w:val="003D5517"/>
    <w:rsid w:val="00402CFB"/>
    <w:rsid w:val="00410F0A"/>
    <w:rsid w:val="00416D33"/>
    <w:rsid w:val="00426AC7"/>
    <w:rsid w:val="00433932"/>
    <w:rsid w:val="00436F99"/>
    <w:rsid w:val="00451257"/>
    <w:rsid w:val="00486767"/>
    <w:rsid w:val="00490B8F"/>
    <w:rsid w:val="004928BF"/>
    <w:rsid w:val="00494C5F"/>
    <w:rsid w:val="00496036"/>
    <w:rsid w:val="004A0A08"/>
    <w:rsid w:val="004A41FC"/>
    <w:rsid w:val="004B1B79"/>
    <w:rsid w:val="004B2D2E"/>
    <w:rsid w:val="004C2B83"/>
    <w:rsid w:val="004C44B9"/>
    <w:rsid w:val="004D01D8"/>
    <w:rsid w:val="004E0F28"/>
    <w:rsid w:val="004E3305"/>
    <w:rsid w:val="004F0300"/>
    <w:rsid w:val="004F09B8"/>
    <w:rsid w:val="004F5AE0"/>
    <w:rsid w:val="004F75B0"/>
    <w:rsid w:val="00505D0B"/>
    <w:rsid w:val="00511ADD"/>
    <w:rsid w:val="005252F3"/>
    <w:rsid w:val="005438EA"/>
    <w:rsid w:val="00550B14"/>
    <w:rsid w:val="00554E16"/>
    <w:rsid w:val="00561982"/>
    <w:rsid w:val="00567F37"/>
    <w:rsid w:val="00567F82"/>
    <w:rsid w:val="00570D77"/>
    <w:rsid w:val="0057278A"/>
    <w:rsid w:val="0057552D"/>
    <w:rsid w:val="0058135F"/>
    <w:rsid w:val="00590187"/>
    <w:rsid w:val="005B2BAB"/>
    <w:rsid w:val="005C4FF3"/>
    <w:rsid w:val="005D27FB"/>
    <w:rsid w:val="005D2EE4"/>
    <w:rsid w:val="00653AA5"/>
    <w:rsid w:val="00695337"/>
    <w:rsid w:val="0069769A"/>
    <w:rsid w:val="006B155E"/>
    <w:rsid w:val="006C2167"/>
    <w:rsid w:val="006C2B2F"/>
    <w:rsid w:val="006C3961"/>
    <w:rsid w:val="006C4225"/>
    <w:rsid w:val="006D7C09"/>
    <w:rsid w:val="006F7145"/>
    <w:rsid w:val="007049A1"/>
    <w:rsid w:val="007228F7"/>
    <w:rsid w:val="00725B7B"/>
    <w:rsid w:val="00727B09"/>
    <w:rsid w:val="00734ED3"/>
    <w:rsid w:val="007358FA"/>
    <w:rsid w:val="00763B3D"/>
    <w:rsid w:val="00764E7A"/>
    <w:rsid w:val="00765872"/>
    <w:rsid w:val="00771477"/>
    <w:rsid w:val="0077514E"/>
    <w:rsid w:val="00776AE8"/>
    <w:rsid w:val="007809DC"/>
    <w:rsid w:val="007851F9"/>
    <w:rsid w:val="00796CB2"/>
    <w:rsid w:val="007A3A08"/>
    <w:rsid w:val="007B14F8"/>
    <w:rsid w:val="007D00D9"/>
    <w:rsid w:val="007E5AF3"/>
    <w:rsid w:val="00813B30"/>
    <w:rsid w:val="008142F5"/>
    <w:rsid w:val="00814D5E"/>
    <w:rsid w:val="00853550"/>
    <w:rsid w:val="0085361C"/>
    <w:rsid w:val="008752B8"/>
    <w:rsid w:val="008814BE"/>
    <w:rsid w:val="008827CB"/>
    <w:rsid w:val="0088488B"/>
    <w:rsid w:val="00896EBE"/>
    <w:rsid w:val="008A5683"/>
    <w:rsid w:val="008A5974"/>
    <w:rsid w:val="008B0FBE"/>
    <w:rsid w:val="008B4546"/>
    <w:rsid w:val="008B5ED5"/>
    <w:rsid w:val="008B7021"/>
    <w:rsid w:val="008D27D6"/>
    <w:rsid w:val="008D4F02"/>
    <w:rsid w:val="008D72CA"/>
    <w:rsid w:val="008F196E"/>
    <w:rsid w:val="008F21DC"/>
    <w:rsid w:val="009073C8"/>
    <w:rsid w:val="00911615"/>
    <w:rsid w:val="00920C62"/>
    <w:rsid w:val="00924188"/>
    <w:rsid w:val="009269A6"/>
    <w:rsid w:val="00945788"/>
    <w:rsid w:val="00953734"/>
    <w:rsid w:val="00963074"/>
    <w:rsid w:val="0098362C"/>
    <w:rsid w:val="009852A5"/>
    <w:rsid w:val="00995F48"/>
    <w:rsid w:val="009965A5"/>
    <w:rsid w:val="009B1BAB"/>
    <w:rsid w:val="009B6357"/>
    <w:rsid w:val="009C7921"/>
    <w:rsid w:val="009F0819"/>
    <w:rsid w:val="009F0B61"/>
    <w:rsid w:val="00A16A98"/>
    <w:rsid w:val="00A22A56"/>
    <w:rsid w:val="00A417AF"/>
    <w:rsid w:val="00A45BEF"/>
    <w:rsid w:val="00A524E0"/>
    <w:rsid w:val="00A61C75"/>
    <w:rsid w:val="00A73495"/>
    <w:rsid w:val="00A82F14"/>
    <w:rsid w:val="00A95F1F"/>
    <w:rsid w:val="00AA6462"/>
    <w:rsid w:val="00AB1C4A"/>
    <w:rsid w:val="00AB32BE"/>
    <w:rsid w:val="00AC0198"/>
    <w:rsid w:val="00AC4F8F"/>
    <w:rsid w:val="00AD1699"/>
    <w:rsid w:val="00AF565B"/>
    <w:rsid w:val="00B22877"/>
    <w:rsid w:val="00B23919"/>
    <w:rsid w:val="00B25D66"/>
    <w:rsid w:val="00B31C5C"/>
    <w:rsid w:val="00B37E58"/>
    <w:rsid w:val="00B46A8D"/>
    <w:rsid w:val="00B535F9"/>
    <w:rsid w:val="00B633F7"/>
    <w:rsid w:val="00B6384B"/>
    <w:rsid w:val="00B71F50"/>
    <w:rsid w:val="00B754A4"/>
    <w:rsid w:val="00B75C66"/>
    <w:rsid w:val="00B86E61"/>
    <w:rsid w:val="00B87CF7"/>
    <w:rsid w:val="00B91FE6"/>
    <w:rsid w:val="00B96D39"/>
    <w:rsid w:val="00BA388A"/>
    <w:rsid w:val="00BB4959"/>
    <w:rsid w:val="00BB6CF7"/>
    <w:rsid w:val="00BC1C94"/>
    <w:rsid w:val="00BC6A15"/>
    <w:rsid w:val="00BC7AD8"/>
    <w:rsid w:val="00BD5E97"/>
    <w:rsid w:val="00BE78E2"/>
    <w:rsid w:val="00C02AD1"/>
    <w:rsid w:val="00C102E5"/>
    <w:rsid w:val="00C107DD"/>
    <w:rsid w:val="00C16949"/>
    <w:rsid w:val="00C30C93"/>
    <w:rsid w:val="00C42961"/>
    <w:rsid w:val="00C5485A"/>
    <w:rsid w:val="00C64F13"/>
    <w:rsid w:val="00C711F0"/>
    <w:rsid w:val="00C7589D"/>
    <w:rsid w:val="00C932C3"/>
    <w:rsid w:val="00CA1B39"/>
    <w:rsid w:val="00CA56D2"/>
    <w:rsid w:val="00CA652F"/>
    <w:rsid w:val="00CB1DEB"/>
    <w:rsid w:val="00CB4A5A"/>
    <w:rsid w:val="00CC0049"/>
    <w:rsid w:val="00CD3897"/>
    <w:rsid w:val="00CF386F"/>
    <w:rsid w:val="00D0274B"/>
    <w:rsid w:val="00D11F8F"/>
    <w:rsid w:val="00D22764"/>
    <w:rsid w:val="00D23353"/>
    <w:rsid w:val="00D24663"/>
    <w:rsid w:val="00D30295"/>
    <w:rsid w:val="00D4227F"/>
    <w:rsid w:val="00D74E14"/>
    <w:rsid w:val="00D862AD"/>
    <w:rsid w:val="00DC01DB"/>
    <w:rsid w:val="00DC0698"/>
    <w:rsid w:val="00DC3562"/>
    <w:rsid w:val="00DE468F"/>
    <w:rsid w:val="00DF06C5"/>
    <w:rsid w:val="00E00A31"/>
    <w:rsid w:val="00E11FF0"/>
    <w:rsid w:val="00E263CB"/>
    <w:rsid w:val="00E354E4"/>
    <w:rsid w:val="00E35569"/>
    <w:rsid w:val="00E45426"/>
    <w:rsid w:val="00E54729"/>
    <w:rsid w:val="00E60689"/>
    <w:rsid w:val="00E91C2D"/>
    <w:rsid w:val="00E96506"/>
    <w:rsid w:val="00EA154A"/>
    <w:rsid w:val="00EB020E"/>
    <w:rsid w:val="00EC4F52"/>
    <w:rsid w:val="00ED3918"/>
    <w:rsid w:val="00F00574"/>
    <w:rsid w:val="00F076B3"/>
    <w:rsid w:val="00F1193B"/>
    <w:rsid w:val="00F13D03"/>
    <w:rsid w:val="00F217B6"/>
    <w:rsid w:val="00F25E85"/>
    <w:rsid w:val="00F65A2E"/>
    <w:rsid w:val="00F676FD"/>
    <w:rsid w:val="00F7069D"/>
    <w:rsid w:val="00F7668B"/>
    <w:rsid w:val="00F84676"/>
    <w:rsid w:val="00F906AC"/>
    <w:rsid w:val="00F90955"/>
    <w:rsid w:val="00F9343B"/>
    <w:rsid w:val="00F94EBE"/>
    <w:rsid w:val="00FC0A46"/>
    <w:rsid w:val="00FD0583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882BD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E54729"/>
    <w:pPr>
      <w:keepNext/>
      <w:keepLines/>
      <w:numPr>
        <w:numId w:val="14"/>
      </w:numPr>
      <w:suppressAutoHyphens/>
      <w:spacing w:before="480" w:after="120" w:line="276" w:lineRule="auto"/>
      <w:contextualSpacing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54729"/>
    <w:pPr>
      <w:keepNext/>
      <w:keepLines/>
      <w:numPr>
        <w:ilvl w:val="1"/>
        <w:numId w:val="14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54729"/>
    <w:pPr>
      <w:keepNext/>
      <w:keepLines/>
      <w:numPr>
        <w:ilvl w:val="2"/>
        <w:numId w:val="14"/>
      </w:numPr>
      <w:suppressAutoHyphens/>
      <w:spacing w:after="0" w:line="240" w:lineRule="auto"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54729"/>
    <w:pPr>
      <w:keepNext/>
      <w:keepLines/>
      <w:numPr>
        <w:ilvl w:val="3"/>
        <w:numId w:val="14"/>
      </w:numPr>
      <w:suppressAutoHyphens/>
      <w:spacing w:before="240" w:after="40" w:line="276" w:lineRule="auto"/>
      <w:contextualSpacing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54729"/>
    <w:pPr>
      <w:keepNext/>
      <w:keepLines/>
      <w:numPr>
        <w:ilvl w:val="4"/>
        <w:numId w:val="14"/>
      </w:numPr>
      <w:suppressAutoHyphens/>
      <w:spacing w:before="220" w:after="40" w:line="276" w:lineRule="auto"/>
      <w:contextualSpacing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54729"/>
    <w:pPr>
      <w:keepNext/>
      <w:keepLines/>
      <w:numPr>
        <w:ilvl w:val="5"/>
        <w:numId w:val="14"/>
      </w:numPr>
      <w:suppressAutoHyphens/>
      <w:spacing w:before="200" w:after="40" w:line="276" w:lineRule="auto"/>
      <w:contextualSpacing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54729"/>
    <w:pPr>
      <w:keepNext/>
      <w:keepLines/>
      <w:numPr>
        <w:ilvl w:val="6"/>
        <w:numId w:val="14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54729"/>
    <w:pPr>
      <w:keepNext/>
      <w:keepLines/>
      <w:numPr>
        <w:ilvl w:val="7"/>
        <w:numId w:val="14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54729"/>
    <w:pPr>
      <w:keepNext/>
      <w:keepLines/>
      <w:numPr>
        <w:ilvl w:val="8"/>
        <w:numId w:val="14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8A5974"/>
  </w:style>
  <w:style w:type="paragraph" w:styleId="a7">
    <w:name w:val="footer"/>
    <w:basedOn w:val="a"/>
    <w:link w:val="a8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8A5974"/>
  </w:style>
  <w:style w:type="paragraph" w:styleId="a9">
    <w:name w:val="Balloon Text"/>
    <w:basedOn w:val="a"/>
    <w:link w:val="aa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b">
    <w:name w:val="Table Grid"/>
    <w:basedOn w:val="a2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1B4B66"/>
    <w:rPr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1B4B66"/>
    <w:rPr>
      <w:vertAlign w:val="superscript"/>
    </w:rPr>
  </w:style>
  <w:style w:type="character" w:styleId="af">
    <w:name w:val="Hyperlink"/>
    <w:basedOn w:val="a1"/>
    <w:uiPriority w:val="99"/>
    <w:unhideWhenUsed/>
    <w:rsid w:val="008F196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E54729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E54729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E54729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E54729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E54729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E54729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E54729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E54729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E54729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0">
    <w:name w:val="Title"/>
    <w:basedOn w:val="a"/>
    <w:next w:val="a"/>
    <w:link w:val="af0"/>
    <w:uiPriority w:val="10"/>
    <w:qFormat/>
    <w:rsid w:val="00E547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1"/>
    <w:link w:val="a0"/>
    <w:uiPriority w:val="10"/>
    <w:rsid w:val="00E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EDEB4-71AF-406F-9F4E-ABD340F61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5515</Words>
  <Characters>3144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13</cp:revision>
  <cp:lastPrinted>2020-07-14T08:41:00Z</cp:lastPrinted>
  <dcterms:created xsi:type="dcterms:W3CDTF">2020-07-09T13:01:00Z</dcterms:created>
  <dcterms:modified xsi:type="dcterms:W3CDTF">2020-07-14T09:53:00Z</dcterms:modified>
</cp:coreProperties>
</file>