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682" w:rsidRPr="00E21BBD" w:rsidRDefault="00C36682" w:rsidP="00C36682">
      <w:pPr>
        <w:pStyle w:val="a3"/>
        <w:rPr>
          <w:rFonts w:ascii="Times New Roman" w:hAnsi="Times New Roman"/>
          <w:lang w:val="ru-RU"/>
        </w:rPr>
      </w:pPr>
      <w:r w:rsidRPr="00E21BBD">
        <w:rPr>
          <w:rFonts w:ascii="Times New Roman" w:hAnsi="Times New Roman"/>
        </w:rPr>
        <w:t>ПОЯСНЮВАЛЬНА ЗАПИСКА</w:t>
      </w:r>
      <w:r w:rsidRPr="00E21BBD">
        <w:rPr>
          <w:rFonts w:ascii="Times New Roman" w:hAnsi="Times New Roman"/>
          <w:lang w:val="ru-RU"/>
        </w:rPr>
        <w:t xml:space="preserve"> </w:t>
      </w:r>
    </w:p>
    <w:p w:rsidR="00C36682" w:rsidRDefault="00C36682" w:rsidP="00C36682">
      <w:pPr>
        <w:tabs>
          <w:tab w:val="left" w:pos="4536"/>
        </w:tabs>
        <w:jc w:val="center"/>
        <w:rPr>
          <w:spacing w:val="-2"/>
          <w:szCs w:val="28"/>
        </w:rPr>
      </w:pPr>
      <w:r>
        <w:rPr>
          <w:spacing w:val="-2"/>
          <w:szCs w:val="28"/>
        </w:rPr>
        <w:t>до проекту Закону України</w:t>
      </w:r>
    </w:p>
    <w:p w:rsidR="00334C40" w:rsidRDefault="00C36682" w:rsidP="00334C40">
      <w:pPr>
        <w:jc w:val="center"/>
        <w:rPr>
          <w:b/>
          <w:bCs/>
          <w:szCs w:val="28"/>
          <w:shd w:val="clear" w:color="auto" w:fill="FFFFFF"/>
        </w:rPr>
      </w:pPr>
      <w:r w:rsidRPr="0087107E">
        <w:rPr>
          <w:b/>
          <w:bCs/>
          <w:szCs w:val="28"/>
        </w:rPr>
        <w:t>«Про внесення змін</w:t>
      </w:r>
      <w:r>
        <w:rPr>
          <w:b/>
          <w:bCs/>
          <w:szCs w:val="28"/>
        </w:rPr>
        <w:t xml:space="preserve"> </w:t>
      </w:r>
      <w:r w:rsidRPr="0087107E">
        <w:rPr>
          <w:b/>
          <w:bCs/>
          <w:szCs w:val="28"/>
        </w:rPr>
        <w:t xml:space="preserve">до </w:t>
      </w:r>
      <w:r w:rsidR="00334C40">
        <w:rPr>
          <w:b/>
          <w:bCs/>
          <w:szCs w:val="28"/>
        </w:rPr>
        <w:t>Кримінального кодексу України щодо відповідальності за постановлення суддею (суддями) неправосудного судового рішення</w:t>
      </w:r>
      <w:r w:rsidR="00334C40">
        <w:rPr>
          <w:b/>
          <w:bCs/>
          <w:szCs w:val="28"/>
          <w:shd w:val="clear" w:color="auto" w:fill="FFFFFF"/>
        </w:rPr>
        <w:t>»</w:t>
      </w:r>
    </w:p>
    <w:p w:rsidR="00C36682" w:rsidRDefault="00C36682" w:rsidP="00334C40">
      <w:pPr>
        <w:autoSpaceDE w:val="0"/>
        <w:autoSpaceDN w:val="0"/>
        <w:adjustRightInd w:val="0"/>
        <w:ind w:firstLine="709"/>
        <w:jc w:val="center"/>
        <w:rPr>
          <w:b/>
          <w:sz w:val="24"/>
        </w:rPr>
      </w:pPr>
    </w:p>
    <w:p w:rsidR="00C36682" w:rsidRDefault="00C36682" w:rsidP="00C36682">
      <w:pPr>
        <w:tabs>
          <w:tab w:val="left" w:pos="4536"/>
        </w:tabs>
        <w:ind w:left="993" w:hanging="426"/>
        <w:jc w:val="both"/>
        <w:rPr>
          <w:b/>
          <w:sz w:val="24"/>
        </w:rPr>
      </w:pPr>
    </w:p>
    <w:p w:rsidR="00C36682" w:rsidRPr="005734C4" w:rsidRDefault="00C36682" w:rsidP="00C36682">
      <w:pPr>
        <w:numPr>
          <w:ilvl w:val="0"/>
          <w:numId w:val="1"/>
        </w:numPr>
        <w:tabs>
          <w:tab w:val="left" w:pos="4536"/>
        </w:tabs>
        <w:jc w:val="both"/>
        <w:rPr>
          <w:b/>
          <w:bCs/>
          <w:spacing w:val="-2"/>
          <w:szCs w:val="28"/>
        </w:rPr>
      </w:pPr>
      <w:r>
        <w:rPr>
          <w:b/>
          <w:bCs/>
          <w:spacing w:val="-2"/>
          <w:szCs w:val="28"/>
        </w:rPr>
        <w:t xml:space="preserve">Обґрунтування необхідності прийняття </w:t>
      </w:r>
      <w:r w:rsidR="000E3F76">
        <w:rPr>
          <w:b/>
          <w:bCs/>
          <w:spacing w:val="-2"/>
          <w:szCs w:val="28"/>
        </w:rPr>
        <w:t>законопроекту</w:t>
      </w:r>
    </w:p>
    <w:p w:rsidR="00334C40" w:rsidRDefault="00C36682" w:rsidP="00334C40">
      <w:pPr>
        <w:pStyle w:val="a5"/>
        <w:spacing w:before="0" w:after="0"/>
        <w:ind w:firstLine="709"/>
        <w:jc w:val="both"/>
        <w:rPr>
          <w:rFonts w:ascii="Times New Roman" w:hAnsi="Times New Roman" w:cs="Times New Roman"/>
          <w:color w:val="auto"/>
          <w:sz w:val="28"/>
          <w:szCs w:val="28"/>
          <w:shd w:val="clear" w:color="auto" w:fill="FFFFFF"/>
        </w:rPr>
      </w:pPr>
      <w:r w:rsidRPr="00614D63">
        <w:rPr>
          <w:color w:val="000000"/>
          <w:szCs w:val="28"/>
        </w:rPr>
        <w:t xml:space="preserve">        </w:t>
      </w:r>
      <w:r w:rsidR="00334C40">
        <w:rPr>
          <w:rFonts w:ascii="Times New Roman" w:hAnsi="Times New Roman" w:cs="Times New Roman"/>
          <w:color w:val="auto"/>
          <w:sz w:val="28"/>
          <w:szCs w:val="28"/>
          <w:shd w:val="clear" w:color="auto" w:fill="FFFFFF"/>
        </w:rPr>
        <w:t xml:space="preserve">Група експертів GRECO кілька разів акцентувала увагу на загрозі незалежності суддів, а саме на використанні прокурорами певних кримінальних правопорушень проти суддів, зокрема йдеться про кримінальну відповідальність за постановлення суддею (суддями) завідомо неправосудного </w:t>
      </w:r>
      <w:proofErr w:type="spellStart"/>
      <w:r w:rsidR="00334C40">
        <w:rPr>
          <w:rFonts w:ascii="Times New Roman" w:hAnsi="Times New Roman" w:cs="Times New Roman"/>
          <w:color w:val="auto"/>
          <w:sz w:val="28"/>
          <w:szCs w:val="28"/>
          <w:shd w:val="clear" w:color="auto" w:fill="FFFFFF"/>
        </w:rPr>
        <w:t>вироку</w:t>
      </w:r>
      <w:proofErr w:type="spellEnd"/>
      <w:r w:rsidR="00334C40">
        <w:rPr>
          <w:rFonts w:ascii="Times New Roman" w:hAnsi="Times New Roman" w:cs="Times New Roman"/>
          <w:color w:val="auto"/>
          <w:sz w:val="28"/>
          <w:szCs w:val="28"/>
          <w:shd w:val="clear" w:color="auto" w:fill="FFFFFF"/>
        </w:rPr>
        <w:t>, рішення, ухвали або постанови (ст. 375 КК України).</w:t>
      </w:r>
    </w:p>
    <w:p w:rsidR="00334C40" w:rsidRDefault="00334C40" w:rsidP="00334C40">
      <w:pPr>
        <w:pStyle w:val="a5"/>
        <w:spacing w:before="0" w:after="0"/>
        <w:ind w:firstLine="709"/>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Відповідно до пп.1, 2 Основних принципів незалежності судових органів, схвалених резолюціями 40/32 та 40/146 Генеральної асамблеї ООН від 29.11 та 13.12.85, незалежність судових органів гарантується державою та закріплюється в конституції або законах країни. Усі державні та інші установи зобов’язані поважати незалежність судових органів та дотримуватися її. Судові органи вирішують передані їм справи безсторонньо, на основі фактів та відповідно до закону, без будь-яких обмежень, неправомірного впливу, спонуки, тиску, погроз або втручання, прямого чи непрямого, з будь-якого боку і з будь-яких причин.</w:t>
      </w:r>
    </w:p>
    <w:p w:rsidR="00334C40" w:rsidRDefault="00334C40" w:rsidP="00334C40">
      <w:pPr>
        <w:pStyle w:val="a5"/>
        <w:spacing w:before="0" w:after="0"/>
        <w:ind w:firstLine="709"/>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 xml:space="preserve">Як зазначено у п.19 рекомендації </w:t>
      </w:r>
      <w:proofErr w:type="spellStart"/>
      <w:r>
        <w:rPr>
          <w:rFonts w:ascii="Times New Roman" w:hAnsi="Times New Roman" w:cs="Times New Roman"/>
          <w:color w:val="auto"/>
          <w:sz w:val="28"/>
          <w:szCs w:val="28"/>
          <w:shd w:val="clear" w:color="auto" w:fill="FFFFFF"/>
        </w:rPr>
        <w:t>Rec</w:t>
      </w:r>
      <w:proofErr w:type="spellEnd"/>
      <w:r>
        <w:rPr>
          <w:rFonts w:ascii="Times New Roman" w:hAnsi="Times New Roman" w:cs="Times New Roman"/>
          <w:color w:val="auto"/>
          <w:sz w:val="28"/>
          <w:szCs w:val="28"/>
          <w:shd w:val="clear" w:color="auto" w:fill="FFFFFF"/>
        </w:rPr>
        <w:t xml:space="preserve"> (2000) 19 Комітету міністрів Ради Європи державам-членам щодо ролі прокуратури в системі кримінального правосуддя, прокурори повинні поважати незалежність і неупередженість суддів; вони ніколи не повинні ні ставити під сумнів судові рішення, ні перешкоджати їхньому виконанню, зберігаючи використання права на процедуру апеляції або на будь-яку іншу пояснювальну процедуру.</w:t>
      </w:r>
    </w:p>
    <w:p w:rsidR="00334C40" w:rsidRDefault="00334C40" w:rsidP="00334C40">
      <w:pPr>
        <w:pStyle w:val="a5"/>
        <w:spacing w:before="0" w:after="0"/>
        <w:ind w:firstLine="709"/>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 xml:space="preserve">Окрім цього, на даний час є сформованою позиція Верховного Суду з розгляду кримінальних проваджень щодо вчинення кримінальних правопорушень, передбачених ст. 375 КК України (ухвалення завідомо неправосудного судового рішення). Так, постанова колегії суддів Касаційного кримінального суду Верховного Суду у справі №399/383/15 (провадження №51-9608км18) від 20.06.2019 року залишила в силі рішення судів попередніх інстанцій щодо винесення виправдувального </w:t>
      </w:r>
      <w:proofErr w:type="spellStart"/>
      <w:r>
        <w:rPr>
          <w:rFonts w:ascii="Times New Roman" w:hAnsi="Times New Roman" w:cs="Times New Roman"/>
          <w:color w:val="auto"/>
          <w:sz w:val="28"/>
          <w:szCs w:val="28"/>
          <w:shd w:val="clear" w:color="auto" w:fill="FFFFFF"/>
        </w:rPr>
        <w:t>вироку</w:t>
      </w:r>
      <w:proofErr w:type="spellEnd"/>
      <w:r>
        <w:rPr>
          <w:rFonts w:ascii="Times New Roman" w:hAnsi="Times New Roman" w:cs="Times New Roman"/>
          <w:color w:val="auto"/>
          <w:sz w:val="28"/>
          <w:szCs w:val="28"/>
          <w:shd w:val="clear" w:color="auto" w:fill="FFFFFF"/>
        </w:rPr>
        <w:t xml:space="preserve"> за обвинуваченням судді у вчинені злочину, передбаченого ч. 2 ст. 375 КК України. У відповідності до </w:t>
      </w:r>
      <w:proofErr w:type="spellStart"/>
      <w:r>
        <w:rPr>
          <w:rFonts w:ascii="Times New Roman" w:hAnsi="Times New Roman" w:cs="Times New Roman"/>
          <w:color w:val="auto"/>
          <w:sz w:val="28"/>
          <w:szCs w:val="28"/>
          <w:shd w:val="clear" w:color="auto" w:fill="FFFFFF"/>
        </w:rPr>
        <w:t>ч.ч</w:t>
      </w:r>
      <w:proofErr w:type="spellEnd"/>
      <w:r>
        <w:rPr>
          <w:rFonts w:ascii="Times New Roman" w:hAnsi="Times New Roman" w:cs="Times New Roman"/>
          <w:color w:val="auto"/>
          <w:sz w:val="28"/>
          <w:szCs w:val="28"/>
          <w:shd w:val="clear" w:color="auto" w:fill="FFFFFF"/>
        </w:rPr>
        <w:t>. 5, 6 ст. 13 Закону України «Про судоустрій і статус суддів» вказана постанова є обов’язковою для всіх суб’єктів владних повноважень, які застосовують у своїй діяльності нормативно-правовий акт, що містить відповідну норму права. Зокрема, Верховним Судом у вказаній справі встановлено, що суд касаційної інстанції вже неодноразово надавав свої висновки щодо правозастосування ст. 375 КК України, які містяться у постановах Верховного Суду України №5-24кс14 від 20 листопада 2014 року та №5-56кс15 від 18 червня 2015 року, постановах Верховного Суду від 26 червня 2018 року (справа №520/8135/15, провадження №51-203км17), від 5 березня 2019 року (справа №759/15166/15, провадження №51-16км17) тощо.</w:t>
      </w:r>
    </w:p>
    <w:p w:rsidR="00334C40" w:rsidRDefault="00334C40" w:rsidP="00334C40">
      <w:pPr>
        <w:pStyle w:val="a5"/>
        <w:spacing w:before="0" w:after="0"/>
        <w:ind w:firstLine="709"/>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 xml:space="preserve">У вказаних висновках констатовано, що на законодавчому рівні не визначено поняття «неправосудне судове рішення», не розтлумачено його і </w:t>
      </w:r>
      <w:r>
        <w:rPr>
          <w:rFonts w:ascii="Times New Roman" w:hAnsi="Times New Roman" w:cs="Times New Roman"/>
          <w:color w:val="auto"/>
          <w:sz w:val="28"/>
          <w:szCs w:val="28"/>
          <w:shd w:val="clear" w:color="auto" w:fill="FFFFFF"/>
        </w:rPr>
        <w:lastRenderedPageBreak/>
        <w:t>Конституційним Судом України, відсутні підстави ототожнювати його з такими поняттями, як «незаконне» та «необґрунтоване», а також немає підстав стверджувати, що неправосудне судове рішення — це у будь-якому випадку таке рішення, яке було скасовано вищою судовою інстанцією. Крім цього, наголошено, що поняття «неправосудне судове рішення» у поєднанні із вказівкою на «</w:t>
      </w:r>
      <w:proofErr w:type="spellStart"/>
      <w:r>
        <w:rPr>
          <w:rFonts w:ascii="Times New Roman" w:hAnsi="Times New Roman" w:cs="Times New Roman"/>
          <w:color w:val="auto"/>
          <w:sz w:val="28"/>
          <w:szCs w:val="28"/>
          <w:shd w:val="clear" w:color="auto" w:fill="FFFFFF"/>
        </w:rPr>
        <w:t>завідомість</w:t>
      </w:r>
      <w:proofErr w:type="spellEnd"/>
      <w:r>
        <w:rPr>
          <w:rFonts w:ascii="Times New Roman" w:hAnsi="Times New Roman" w:cs="Times New Roman"/>
          <w:color w:val="auto"/>
          <w:sz w:val="28"/>
          <w:szCs w:val="28"/>
          <w:shd w:val="clear" w:color="auto" w:fill="FFFFFF"/>
        </w:rPr>
        <w:t xml:space="preserve">» його постановлення підкреслює цілеспрямований характер злочинних дій судді, його свідоме прагнення та бажання всупереч процесуальному закону постановити судове рішення, яке за своєю суттю не може бути і не є актом правосуддя. </w:t>
      </w:r>
    </w:p>
    <w:p w:rsidR="00334C40" w:rsidRDefault="00334C40" w:rsidP="00334C40">
      <w:pPr>
        <w:pStyle w:val="a5"/>
        <w:spacing w:before="0" w:after="0"/>
        <w:ind w:firstLine="709"/>
        <w:jc w:val="both"/>
        <w:rPr>
          <w:color w:val="auto"/>
          <w:sz w:val="28"/>
          <w:szCs w:val="28"/>
        </w:rPr>
      </w:pPr>
      <w:r>
        <w:rPr>
          <w:color w:val="auto"/>
          <w:sz w:val="28"/>
          <w:szCs w:val="28"/>
        </w:rPr>
        <w:t>Консультативна рада європейських суддів (далі — КРЄС) допускає можливість зловмисного використання інституту кримінального переслідування для зведення рахунків за ухвалені суддями рішення.</w:t>
      </w:r>
    </w:p>
    <w:p w:rsidR="00334C40" w:rsidRDefault="00334C40" w:rsidP="00334C40">
      <w:pPr>
        <w:ind w:firstLine="708"/>
        <w:jc w:val="both"/>
        <w:rPr>
          <w:szCs w:val="28"/>
        </w:rPr>
      </w:pPr>
      <w:r>
        <w:rPr>
          <w:rFonts w:cs="Liberation Serif;Times New Roma"/>
          <w:szCs w:val="28"/>
        </w:rPr>
        <w:t xml:space="preserve">У </w:t>
      </w:r>
      <w:r>
        <w:rPr>
          <w:szCs w:val="28"/>
        </w:rPr>
        <w:t>п. 54 Висновку КРЄС для Комітету Міністрів Ради Європи від 19 листопада 2002 р. «Про принципи і правила, які регулюють професійну поведінку суддів, зокрема етичні норми, несумісну з посадою поведінку і неупередженість» (далі — Висновок КРЄС) зазначено, що сутяжницьке порушення кримінальної справи проти судді за ініціативою незадоволеної судовим рішенням сторони стало поширеним явищем у деяких європейських державах.</w:t>
      </w:r>
    </w:p>
    <w:p w:rsidR="00334C40" w:rsidRDefault="00334C40" w:rsidP="00334C40">
      <w:pPr>
        <w:ind w:firstLine="708"/>
        <w:jc w:val="both"/>
        <w:rPr>
          <w:rFonts w:asciiTheme="minorHAnsi" w:hAnsiTheme="minorHAnsi"/>
          <w:szCs w:val="28"/>
        </w:rPr>
      </w:pPr>
      <w:r>
        <w:rPr>
          <w:szCs w:val="28"/>
        </w:rPr>
        <w:t>Проте, доки поточна практика повністю не виключила кримінальну відповідальність суддів, які вчинили ненавмисні помилки під час виконання посадових функцій, КРЄС не вважає введення такої відповідальності прийнятною загалом чи такою, що заслуговує на підтримку. Суддя не повинен працювати під загрозою тюремного ув’язнення, оскільки наявність такої загрози може, хоча б і підсвідомо, вплинути на його рішення (п. 53 Висновку КРЄС).</w:t>
      </w:r>
    </w:p>
    <w:p w:rsidR="00334C40" w:rsidRDefault="00334C40" w:rsidP="00334C40">
      <w:pPr>
        <w:ind w:firstLine="708"/>
        <w:jc w:val="both"/>
        <w:rPr>
          <w:rFonts w:asciiTheme="minorHAnsi" w:hAnsiTheme="minorHAnsi"/>
          <w:szCs w:val="28"/>
        </w:rPr>
      </w:pPr>
      <w:r>
        <w:rPr>
          <w:szCs w:val="28"/>
        </w:rPr>
        <w:t>Відповідно до пункту 70 Рекомендацій CM/</w:t>
      </w:r>
      <w:proofErr w:type="spellStart"/>
      <w:r>
        <w:rPr>
          <w:szCs w:val="28"/>
        </w:rPr>
        <w:t>Rec</w:t>
      </w:r>
      <w:proofErr w:type="spellEnd"/>
      <w:r>
        <w:rPr>
          <w:szCs w:val="28"/>
        </w:rPr>
        <w:t xml:space="preserve"> (2010) 12 Комітету Міністрів Ради Європи державам-членам щодо суддів: незалежність, ефективність та обов'язки від 17 листопада 2010 року судді  не  повинні  нести  особисту  відповідальність  за випадки,  коли  їхні  рішення були скасовані або змінені в процесі апеляційного розгляду.</w:t>
      </w:r>
    </w:p>
    <w:p w:rsidR="00334C40" w:rsidRDefault="00334C40" w:rsidP="00334C40">
      <w:pPr>
        <w:ind w:firstLine="708"/>
        <w:jc w:val="both"/>
        <w:rPr>
          <w:rFonts w:asciiTheme="minorHAnsi" w:hAnsiTheme="minorHAnsi"/>
          <w:szCs w:val="28"/>
        </w:rPr>
      </w:pPr>
      <w:r>
        <w:rPr>
          <w:szCs w:val="28"/>
        </w:rPr>
        <w:t>У пункті 68 вказаного документу йдеться про те, що тлумачення закону,  оцінювання фактів  або  доказів,  які здійснюють  судді  для вирішення справи,  не повинні бути приводом для  кримінальної відповідальності,  крім   випадків   злочинного наміру.</w:t>
      </w:r>
    </w:p>
    <w:p w:rsidR="00334C40" w:rsidRDefault="00334C40" w:rsidP="00334C40">
      <w:pPr>
        <w:ind w:firstLine="708"/>
        <w:jc w:val="both"/>
        <w:rPr>
          <w:rFonts w:ascii="Liberation Serif;Times New Roma" w:hAnsi="Liberation Serif;Times New Roma"/>
          <w:szCs w:val="28"/>
        </w:rPr>
      </w:pPr>
      <w:r>
        <w:rPr>
          <w:szCs w:val="28"/>
        </w:rPr>
        <w:t>Попри те, що міжнародні стандарти у сфері судоустрою та статусу суддів, розроблені під егідою Ради Європи, мають, як правило, рекомендаційний характер, держави-члени Ради Європи вважають за необхідне враховувати їх положення в національних законодавствах та у практиці організації й забезпечення діяльності судової влади. Стаття 15 Статуту Ради Європи надає Комітету Міністрів Ради Європи право звертатися до урядів держав-членів із запитами про вжиття заходів на виконання ухвалених ним рекомендацій.</w:t>
      </w:r>
    </w:p>
    <w:p w:rsidR="00334C40" w:rsidRDefault="00334C40" w:rsidP="00334C40">
      <w:pPr>
        <w:ind w:firstLine="708"/>
        <w:jc w:val="both"/>
        <w:rPr>
          <w:szCs w:val="28"/>
        </w:rPr>
      </w:pPr>
      <w:r>
        <w:rPr>
          <w:szCs w:val="28"/>
        </w:rPr>
        <w:t>Запровадження Україною вищезгаданих стандартів Ради Європи у сфері судоустрою та статусу суддів слід розглядати як політичний пріоритет держави та ключовий механізм досягнення відповідності нашої держави насамперед політичним критеріям членства у Європейському союзі.</w:t>
      </w:r>
    </w:p>
    <w:p w:rsidR="00334C40" w:rsidRDefault="00334C40" w:rsidP="00334C40">
      <w:pPr>
        <w:ind w:firstLine="708"/>
        <w:jc w:val="both"/>
        <w:rPr>
          <w:rFonts w:asciiTheme="minorHAnsi" w:hAnsiTheme="minorHAnsi"/>
          <w:szCs w:val="28"/>
        </w:rPr>
      </w:pPr>
      <w:r>
        <w:rPr>
          <w:szCs w:val="28"/>
        </w:rPr>
        <w:t>Однак,</w:t>
      </w:r>
      <w:r>
        <w:rPr>
          <w:rFonts w:asciiTheme="minorHAnsi" w:hAnsiTheme="minorHAnsi"/>
          <w:szCs w:val="28"/>
        </w:rPr>
        <w:t xml:space="preserve"> </w:t>
      </w:r>
      <w:r>
        <w:rPr>
          <w:szCs w:val="28"/>
        </w:rPr>
        <w:t xml:space="preserve">враховуючи наявність в національному законодавстві України кримінальної відповідальності судді за прийняте ним судове рішення, вбачається </w:t>
      </w:r>
      <w:r>
        <w:rPr>
          <w:szCs w:val="28"/>
        </w:rPr>
        <w:lastRenderedPageBreak/>
        <w:t>особливо необхідним правильне розуміння</w:t>
      </w:r>
      <w:r>
        <w:rPr>
          <w:rFonts w:asciiTheme="minorHAnsi" w:hAnsiTheme="minorHAnsi"/>
          <w:szCs w:val="28"/>
        </w:rPr>
        <w:t xml:space="preserve"> </w:t>
      </w:r>
      <w:r>
        <w:rPr>
          <w:szCs w:val="28"/>
        </w:rPr>
        <w:t>і застосування положень Кримінального кодексу України, зокрема статті 375</w:t>
      </w:r>
      <w:r>
        <w:rPr>
          <w:rFonts w:asciiTheme="minorHAnsi" w:hAnsiTheme="minorHAnsi"/>
          <w:szCs w:val="28"/>
        </w:rPr>
        <w:t xml:space="preserve"> </w:t>
      </w:r>
      <w:r>
        <w:rPr>
          <w:szCs w:val="28"/>
        </w:rPr>
        <w:t>Кримінального кодексу України</w:t>
      </w:r>
      <w:r>
        <w:rPr>
          <w:rFonts w:asciiTheme="minorHAnsi" w:hAnsiTheme="minorHAnsi"/>
          <w:szCs w:val="28"/>
        </w:rPr>
        <w:t>.</w:t>
      </w:r>
    </w:p>
    <w:p w:rsidR="00334C40" w:rsidRDefault="00334C40" w:rsidP="00334C40">
      <w:pPr>
        <w:ind w:firstLine="708"/>
        <w:jc w:val="both"/>
        <w:rPr>
          <w:rFonts w:asciiTheme="minorHAnsi" w:hAnsiTheme="minorHAnsi"/>
          <w:szCs w:val="28"/>
        </w:rPr>
      </w:pPr>
      <w:r>
        <w:rPr>
          <w:szCs w:val="28"/>
        </w:rPr>
        <w:t xml:space="preserve">Із положень вищевказаної статті Кримінального кодексу України вбачається, що для наявності об’єктивної сторони складу злочину, передбаченого цією статтею, необхідною умовою є факт постановлення суддею неправосудного рішення. </w:t>
      </w:r>
    </w:p>
    <w:p w:rsidR="00334C40" w:rsidRDefault="00334C40" w:rsidP="00334C40">
      <w:pPr>
        <w:ind w:firstLine="708"/>
        <w:jc w:val="both"/>
        <w:rPr>
          <w:rFonts w:asciiTheme="minorHAnsi" w:hAnsiTheme="minorHAnsi"/>
          <w:szCs w:val="28"/>
        </w:rPr>
      </w:pPr>
      <w:r>
        <w:rPr>
          <w:szCs w:val="28"/>
        </w:rPr>
        <w:t>Відповідно до статті 124 Конституції України правосуддя в Україні здійснюється виключно судами. Делегування функцій судів, а також привласнення цих функцій іншими органами чи посадовими особами не допускаються.</w:t>
      </w:r>
    </w:p>
    <w:p w:rsidR="00334C40" w:rsidRDefault="00334C40" w:rsidP="00334C40">
      <w:pPr>
        <w:ind w:firstLine="708"/>
        <w:jc w:val="both"/>
        <w:rPr>
          <w:rFonts w:ascii="Liberation Serif;Times New Roma" w:hAnsi="Liberation Serif;Times New Roma"/>
          <w:szCs w:val="28"/>
        </w:rPr>
      </w:pPr>
      <w:r>
        <w:rPr>
          <w:szCs w:val="28"/>
        </w:rPr>
        <w:t>Частиною першою статті 5 Закону України «Про судоустрій і статус суддів» визначено, що правосуддя в Україні здійснюється виключно судами та відповідно до визначених законом процедур судочинства.</w:t>
      </w:r>
    </w:p>
    <w:p w:rsidR="00334C40" w:rsidRDefault="00334C40" w:rsidP="00334C40">
      <w:pPr>
        <w:ind w:firstLine="708"/>
        <w:jc w:val="both"/>
        <w:rPr>
          <w:szCs w:val="28"/>
        </w:rPr>
      </w:pPr>
      <w:r>
        <w:rPr>
          <w:szCs w:val="28"/>
        </w:rPr>
        <w:t>Таким чином правосуддям є самостійна галузь державної діяльності, яку здійснює суд шляхом розгляду і вирішення у судових засіданнях в особливій, встановленій законом, процесуальній формі цивільних, кримінальних, господарських, адміністративних справ.</w:t>
      </w:r>
    </w:p>
    <w:p w:rsidR="00334C40" w:rsidRDefault="00334C40" w:rsidP="00334C40">
      <w:pPr>
        <w:ind w:firstLine="708"/>
        <w:jc w:val="both"/>
        <w:rPr>
          <w:szCs w:val="28"/>
        </w:rPr>
      </w:pPr>
      <w:r>
        <w:rPr>
          <w:szCs w:val="28"/>
        </w:rPr>
        <w:t>Із наведеного визначення вбачається, що правосуддя є нічим іншим, як чітко регламентована діяльність спеціального органу (суду), спрямована на об’єктивний розгляд судових справ та вирішення спорів, з метою забезпечення права громадян на судовий захист своїх прав та інтересів.</w:t>
      </w:r>
    </w:p>
    <w:p w:rsidR="00334C40" w:rsidRDefault="00334C40" w:rsidP="00334C40">
      <w:pPr>
        <w:ind w:firstLine="708"/>
        <w:jc w:val="both"/>
        <w:rPr>
          <w:szCs w:val="28"/>
        </w:rPr>
      </w:pPr>
      <w:r>
        <w:rPr>
          <w:szCs w:val="28"/>
        </w:rPr>
        <w:t xml:space="preserve">У зв’язку з цим </w:t>
      </w:r>
      <w:proofErr w:type="spellStart"/>
      <w:r>
        <w:rPr>
          <w:szCs w:val="28"/>
        </w:rPr>
        <w:t>правосудність</w:t>
      </w:r>
      <w:proofErr w:type="spellEnd"/>
      <w:r>
        <w:rPr>
          <w:szCs w:val="28"/>
        </w:rPr>
        <w:t xml:space="preserve"> судового рішення визначається наявністю у конкретного судді права здійснювати правосуддя і, відповідно, </w:t>
      </w:r>
      <w:proofErr w:type="spellStart"/>
      <w:r>
        <w:rPr>
          <w:szCs w:val="28"/>
        </w:rPr>
        <w:t>неправосудність</w:t>
      </w:r>
      <w:proofErr w:type="spellEnd"/>
      <w:r>
        <w:rPr>
          <w:szCs w:val="28"/>
        </w:rPr>
        <w:t xml:space="preserve"> судового рішення визначається відсутністю у судді права судити за певних обставин.  </w:t>
      </w:r>
    </w:p>
    <w:p w:rsidR="00334C40" w:rsidRDefault="00334C40" w:rsidP="00334C40">
      <w:pPr>
        <w:ind w:firstLine="708"/>
        <w:jc w:val="both"/>
        <w:rPr>
          <w:szCs w:val="28"/>
        </w:rPr>
      </w:pPr>
      <w:r>
        <w:rPr>
          <w:szCs w:val="28"/>
        </w:rPr>
        <w:t>Що ж стосується суб’єктивної сторони цього злочину, то її характеризує слово «</w:t>
      </w:r>
      <w:proofErr w:type="spellStart"/>
      <w:r>
        <w:rPr>
          <w:szCs w:val="28"/>
        </w:rPr>
        <w:t>завідомість</w:t>
      </w:r>
      <w:proofErr w:type="spellEnd"/>
      <w:r>
        <w:rPr>
          <w:szCs w:val="28"/>
        </w:rPr>
        <w:t>», про яку йдеться у диспозиції ст. 375 Кримінального кодексу України. Тобто, порушення порядку розгляду справи чи розгляд справи суддею, який не має права її розглядати в силу норм процесуального права, має бути вчинене умисно та з чітким розумінням суддею наслідків такої своєї діяльності.</w:t>
      </w:r>
    </w:p>
    <w:p w:rsidR="00334C40" w:rsidRDefault="00334C40" w:rsidP="00334C40">
      <w:pPr>
        <w:ind w:firstLine="708"/>
        <w:jc w:val="both"/>
        <w:rPr>
          <w:rFonts w:asciiTheme="minorHAnsi" w:hAnsiTheme="minorHAnsi"/>
          <w:szCs w:val="28"/>
        </w:rPr>
      </w:pPr>
      <w:r>
        <w:rPr>
          <w:szCs w:val="28"/>
        </w:rPr>
        <w:t>Вказане виключає можливість притягнення судді до кримінальної відповідальності внаслідок допущення ним суддівської помилки, для виправлення якої у системі судів України передбачено наявність апеляційної та касаційної інстанцій.</w:t>
      </w:r>
    </w:p>
    <w:p w:rsidR="00334C40" w:rsidRDefault="00334C40" w:rsidP="00334C40">
      <w:pPr>
        <w:ind w:firstLine="708"/>
        <w:jc w:val="both"/>
        <w:rPr>
          <w:rFonts w:asciiTheme="minorHAnsi" w:hAnsiTheme="minorHAnsi"/>
          <w:szCs w:val="28"/>
        </w:rPr>
      </w:pPr>
      <w:r>
        <w:rPr>
          <w:szCs w:val="28"/>
        </w:rPr>
        <w:t>Крім того з метою розмежування дисциплінарних проступків та кримінального злочину, пов’язаних із прийняттям неправосудного рішення вбачається за необхідне суб’єктивну сторону злочину обмежити випадками, коли таке рішення приймається з корисливих мотивів чи в інших особистих інтересах</w:t>
      </w:r>
    </w:p>
    <w:p w:rsidR="00334C40" w:rsidRDefault="00334C40" w:rsidP="00334C40">
      <w:pPr>
        <w:ind w:firstLine="708"/>
        <w:jc w:val="both"/>
        <w:rPr>
          <w:rFonts w:ascii="Liberation Serif;Times New Roma" w:hAnsi="Liberation Serif;Times New Roma"/>
          <w:szCs w:val="28"/>
        </w:rPr>
      </w:pPr>
      <w:r>
        <w:rPr>
          <w:szCs w:val="28"/>
        </w:rPr>
        <w:t>Таке розуміння положень статті 375 Кримінального кодексу України є більш прийнятним та допустимим з точки зору формування в Україні громадянського суспільства на основі європейських принципів.</w:t>
      </w:r>
    </w:p>
    <w:p w:rsidR="00334C40" w:rsidRDefault="00334C40" w:rsidP="00334C40">
      <w:pPr>
        <w:pStyle w:val="a5"/>
        <w:spacing w:before="0" w:after="0"/>
        <w:ind w:firstLine="709"/>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 xml:space="preserve">Таким чином, зважаючи на положення ст.375 КК та факт того, що процедуру притягнення судді за вказаним складом злочину може використовуватися правоохоронними органами як засіб тиску, питання </w:t>
      </w:r>
      <w:r>
        <w:rPr>
          <w:rFonts w:ascii="Times New Roman" w:hAnsi="Times New Roman" w:cs="Times New Roman"/>
          <w:color w:val="auto"/>
          <w:sz w:val="28"/>
          <w:szCs w:val="28"/>
          <w:shd w:val="clear" w:color="auto" w:fill="FFFFFF"/>
        </w:rPr>
        <w:lastRenderedPageBreak/>
        <w:t>забезпечення незалежності суддів може бути вирішено законодавцем. Зокрема, шляхом визначення і розкриття поняття «неправосудне судове рішення».</w:t>
      </w:r>
    </w:p>
    <w:p w:rsidR="00334C40" w:rsidRDefault="00334C40" w:rsidP="00334C40">
      <w:pPr>
        <w:ind w:firstLine="708"/>
        <w:jc w:val="both"/>
        <w:rPr>
          <w:szCs w:val="28"/>
        </w:rPr>
      </w:pPr>
      <w:r>
        <w:rPr>
          <w:szCs w:val="28"/>
        </w:rPr>
        <w:t>Крім того, не зовсім доречним у розділі ХІІІ Кримінального кодексу України, який передбачає відповідальність за злочини проти правосуддя, визначати відповідальність за перешкоджання діяльності журналістів, оскільки відповідальність за злочини проти журналістів є предметом регулювання окремого розділу Кримінального кодексу України – розділу VI.</w:t>
      </w:r>
    </w:p>
    <w:p w:rsidR="00334C40" w:rsidRDefault="00334C40" w:rsidP="00334C40">
      <w:pPr>
        <w:ind w:firstLine="708"/>
        <w:jc w:val="both"/>
        <w:rPr>
          <w:szCs w:val="28"/>
        </w:rPr>
      </w:pPr>
      <w:r>
        <w:rPr>
          <w:szCs w:val="28"/>
        </w:rPr>
        <w:t xml:space="preserve">В свою чергу виокремлення журналістів, як окремої категорії суб’єктів правовідносин, професійній діяльності яких можуть вчинятися перешкоди, та визначення кваліфікуючої ознаки злочину проти правосуддя лише за ознаками здійснення професійної діяльності, ставлять у нерівне порівняно із журналістами становище інших учасників суспільних правовідносин, які можуть здійснювати професійну діяльність у інших сферах суспільного життя.  </w:t>
      </w:r>
    </w:p>
    <w:p w:rsidR="00334C40" w:rsidRDefault="00334C40" w:rsidP="00334C40">
      <w:pPr>
        <w:ind w:firstLine="708"/>
        <w:jc w:val="both"/>
        <w:rPr>
          <w:b/>
          <w:bCs/>
          <w:szCs w:val="28"/>
          <w:shd w:val="clear" w:color="auto" w:fill="FFFFFF"/>
        </w:rPr>
      </w:pPr>
    </w:p>
    <w:p w:rsidR="00C36682" w:rsidRPr="00334C40" w:rsidRDefault="00C36682" w:rsidP="00334C40">
      <w:pPr>
        <w:pStyle w:val="a6"/>
        <w:numPr>
          <w:ilvl w:val="0"/>
          <w:numId w:val="1"/>
        </w:numPr>
        <w:shd w:val="clear" w:color="auto" w:fill="FFFFFF"/>
        <w:jc w:val="both"/>
        <w:rPr>
          <w:b/>
          <w:bCs/>
          <w:spacing w:val="-2"/>
          <w:szCs w:val="28"/>
        </w:rPr>
      </w:pPr>
      <w:r w:rsidRPr="00334C40">
        <w:rPr>
          <w:b/>
          <w:bCs/>
          <w:spacing w:val="-2"/>
          <w:szCs w:val="28"/>
        </w:rPr>
        <w:t xml:space="preserve">Цілі та завдання прийняття </w:t>
      </w:r>
      <w:r w:rsidR="00334C40" w:rsidRPr="00334C40">
        <w:rPr>
          <w:b/>
          <w:bCs/>
          <w:spacing w:val="-2"/>
          <w:szCs w:val="28"/>
        </w:rPr>
        <w:t>законопроекту</w:t>
      </w:r>
    </w:p>
    <w:p w:rsidR="00334C40" w:rsidRDefault="00334C40" w:rsidP="00334C40">
      <w:pPr>
        <w:ind w:firstLine="708"/>
        <w:jc w:val="both"/>
        <w:rPr>
          <w:szCs w:val="28"/>
        </w:rPr>
      </w:pPr>
      <w:r>
        <w:rPr>
          <w:szCs w:val="28"/>
        </w:rPr>
        <w:t>Проект закону розроблено з метою удосконалення правових норм щодо відповідальності за постановлення суддею (суддями) неправосудного судового рішення</w:t>
      </w:r>
      <w:r w:rsidR="00DF544F">
        <w:rPr>
          <w:szCs w:val="28"/>
        </w:rPr>
        <w:t xml:space="preserve"> (</w:t>
      </w:r>
      <w:proofErr w:type="spellStart"/>
      <w:r w:rsidR="00DF544F">
        <w:rPr>
          <w:szCs w:val="28"/>
        </w:rPr>
        <w:t>вироку</w:t>
      </w:r>
      <w:proofErr w:type="spellEnd"/>
      <w:r w:rsidR="00DF544F">
        <w:rPr>
          <w:szCs w:val="28"/>
        </w:rPr>
        <w:t>, ухвали або постанови)</w:t>
      </w:r>
      <w:r>
        <w:rPr>
          <w:szCs w:val="28"/>
        </w:rPr>
        <w:t xml:space="preserve"> шляхом чіткого визначення об’єктивної сторони та суб’єктивної сторони злочину, яке відсутнє у чинній редакції даної статті. </w:t>
      </w:r>
    </w:p>
    <w:p w:rsidR="00334C40" w:rsidRDefault="00334C40" w:rsidP="00334C40">
      <w:pPr>
        <w:ind w:firstLine="708"/>
        <w:jc w:val="both"/>
        <w:rPr>
          <w:szCs w:val="28"/>
        </w:rPr>
      </w:pPr>
      <w:r>
        <w:rPr>
          <w:szCs w:val="28"/>
        </w:rPr>
        <w:t xml:space="preserve">Вказане буде сприяти </w:t>
      </w:r>
      <w:r>
        <w:rPr>
          <w:szCs w:val="28"/>
          <w:shd w:val="clear" w:color="auto" w:fill="FFFFFF"/>
        </w:rPr>
        <w:t xml:space="preserve">забезпеченню </w:t>
      </w:r>
      <w:r>
        <w:rPr>
          <w:szCs w:val="28"/>
        </w:rPr>
        <w:t>дотримання принципу правової визначеності.</w:t>
      </w:r>
    </w:p>
    <w:p w:rsidR="00C36682" w:rsidRPr="001364B4" w:rsidRDefault="00C36682" w:rsidP="00C36682">
      <w:pPr>
        <w:shd w:val="clear" w:color="auto" w:fill="FFFFFF"/>
        <w:tabs>
          <w:tab w:val="left" w:pos="851"/>
          <w:tab w:val="left" w:pos="993"/>
        </w:tabs>
        <w:ind w:firstLine="720"/>
        <w:jc w:val="both"/>
        <w:rPr>
          <w:color w:val="000000"/>
          <w:sz w:val="27"/>
          <w:szCs w:val="27"/>
        </w:rPr>
      </w:pPr>
    </w:p>
    <w:p w:rsidR="00C36682" w:rsidRDefault="00C36682" w:rsidP="00C36682">
      <w:pPr>
        <w:jc w:val="both"/>
        <w:rPr>
          <w:b/>
          <w:bCs/>
          <w:spacing w:val="-2"/>
          <w:szCs w:val="28"/>
        </w:rPr>
      </w:pPr>
      <w:r>
        <w:rPr>
          <w:b/>
          <w:bCs/>
          <w:spacing w:val="-2"/>
          <w:szCs w:val="28"/>
        </w:rPr>
        <w:t xml:space="preserve">          3. Загальна характеристика та основні положення проекту Закону </w:t>
      </w:r>
    </w:p>
    <w:p w:rsidR="006F13A0" w:rsidRDefault="006F13A0" w:rsidP="006F13A0">
      <w:pPr>
        <w:ind w:firstLine="709"/>
        <w:jc w:val="both"/>
        <w:rPr>
          <w:szCs w:val="28"/>
          <w:shd w:val="clear" w:color="auto" w:fill="FFFFFF"/>
        </w:rPr>
      </w:pPr>
      <w:r>
        <w:rPr>
          <w:szCs w:val="28"/>
          <w:shd w:val="clear" w:color="auto" w:fill="FFFFFF"/>
        </w:rPr>
        <w:t>Проектом передбачається викласти в новій редакції статтю 375 Кримінального кодексу України,  а саме:</w:t>
      </w:r>
    </w:p>
    <w:p w:rsidR="006F13A0" w:rsidRDefault="006F13A0" w:rsidP="006F13A0">
      <w:pPr>
        <w:ind w:firstLine="708"/>
        <w:jc w:val="both"/>
        <w:rPr>
          <w:rFonts w:ascii="Liberation Serif;Times New Roma" w:hAnsi="Liberation Serif;Times New Roma" w:cs="FreeSans"/>
          <w:color w:val="000000"/>
          <w:szCs w:val="28"/>
          <w:lang w:eastAsia="zh-CN" w:bidi="hi-IN"/>
        </w:rPr>
      </w:pPr>
      <w:r>
        <w:rPr>
          <w:b/>
          <w:szCs w:val="28"/>
        </w:rPr>
        <w:t>«</w:t>
      </w:r>
      <w:r>
        <w:rPr>
          <w:b/>
          <w:color w:val="000000"/>
          <w:szCs w:val="28"/>
        </w:rPr>
        <w:t>Стаття 375</w:t>
      </w:r>
      <w:r>
        <w:rPr>
          <w:color w:val="000000"/>
          <w:szCs w:val="28"/>
        </w:rPr>
        <w:t>. Постановлення суддею (суддями) завідомо неправосудного судового рішення (</w:t>
      </w:r>
      <w:proofErr w:type="spellStart"/>
      <w:r>
        <w:rPr>
          <w:color w:val="000000"/>
          <w:szCs w:val="28"/>
        </w:rPr>
        <w:t>вироку</w:t>
      </w:r>
      <w:proofErr w:type="spellEnd"/>
      <w:r>
        <w:rPr>
          <w:color w:val="000000"/>
          <w:szCs w:val="28"/>
        </w:rPr>
        <w:t>, ухвали або постанови).</w:t>
      </w:r>
    </w:p>
    <w:p w:rsidR="006F13A0" w:rsidRDefault="006F13A0" w:rsidP="006F13A0">
      <w:pPr>
        <w:ind w:firstLine="708"/>
        <w:jc w:val="both"/>
        <w:rPr>
          <w:color w:val="00000A"/>
          <w:szCs w:val="28"/>
        </w:rPr>
      </w:pPr>
      <w:r>
        <w:rPr>
          <w:szCs w:val="28"/>
        </w:rPr>
        <w:t xml:space="preserve">1. Постановлення суддею (суддями) </w:t>
      </w:r>
      <w:r w:rsidR="00AC0B9D">
        <w:rPr>
          <w:szCs w:val="28"/>
        </w:rPr>
        <w:t xml:space="preserve">завідомо неправосудного судового рішення </w:t>
      </w:r>
      <w:r w:rsidR="00AC0B9D">
        <w:rPr>
          <w:color w:val="000000"/>
          <w:szCs w:val="28"/>
        </w:rPr>
        <w:t>(</w:t>
      </w:r>
      <w:proofErr w:type="spellStart"/>
      <w:r w:rsidR="00AC0B9D">
        <w:rPr>
          <w:color w:val="000000"/>
          <w:szCs w:val="28"/>
        </w:rPr>
        <w:t>вироку</w:t>
      </w:r>
      <w:proofErr w:type="spellEnd"/>
      <w:r w:rsidR="00AC0B9D">
        <w:rPr>
          <w:color w:val="000000"/>
          <w:szCs w:val="28"/>
        </w:rPr>
        <w:t>, ухва</w:t>
      </w:r>
      <w:r w:rsidR="00AC0B9D">
        <w:rPr>
          <w:color w:val="000000"/>
          <w:szCs w:val="28"/>
        </w:rPr>
        <w:t>ли або постанови)</w:t>
      </w:r>
      <w:r w:rsidR="00AC0B9D">
        <w:rPr>
          <w:color w:val="000000"/>
          <w:szCs w:val="28"/>
        </w:rPr>
        <w:t xml:space="preserve"> </w:t>
      </w:r>
      <w:r>
        <w:rPr>
          <w:szCs w:val="28"/>
        </w:rPr>
        <w:t>з корисливих мотивів</w:t>
      </w:r>
      <w:r w:rsidR="00AC0B9D">
        <w:rPr>
          <w:szCs w:val="28"/>
        </w:rPr>
        <w:t xml:space="preserve"> чи в інших особистих інтересах</w:t>
      </w:r>
      <w:bookmarkStart w:id="0" w:name="_GoBack"/>
      <w:bookmarkEnd w:id="0"/>
      <w:r>
        <w:rPr>
          <w:color w:val="000000"/>
          <w:szCs w:val="28"/>
        </w:rPr>
        <w:t xml:space="preserve">, тобто постановленого </w:t>
      </w:r>
      <w:r>
        <w:rPr>
          <w:szCs w:val="28"/>
        </w:rPr>
        <w:t>з умисним порушенням визначених законом процедур судочинства, яке проявляється у</w:t>
      </w:r>
      <w:r>
        <w:rPr>
          <w:color w:val="000000"/>
          <w:szCs w:val="28"/>
          <w:shd w:val="clear" w:color="auto" w:fill="FFFFFF"/>
        </w:rPr>
        <w:t xml:space="preserve">  розгляді справи неповноважним (незаконним) складом суду</w:t>
      </w:r>
      <w:r>
        <w:rPr>
          <w:color w:val="000000"/>
          <w:shd w:val="clear" w:color="auto" w:fill="FFFFFF"/>
        </w:rPr>
        <w:t>;</w:t>
      </w:r>
      <w:r>
        <w:rPr>
          <w:szCs w:val="28"/>
        </w:rPr>
        <w:t xml:space="preserve"> розгляді суддею (суддями) справи, яка не підсудна суду, у якому він (вони) працює; або розгляді справи, </w:t>
      </w:r>
      <w:r>
        <w:rPr>
          <w:color w:val="000000"/>
          <w:szCs w:val="28"/>
        </w:rPr>
        <w:t>яку суддя (судді) не могли розглядати і підлягали відводу (самовідводу) відповідно до процесуального закону</w:t>
      </w:r>
      <w:r>
        <w:rPr>
          <w:szCs w:val="28"/>
        </w:rPr>
        <w:t>; або прийнятті рішення у справі без участі сторін, які не повідомлялися належним чином про час та місце розгляду справи</w:t>
      </w:r>
      <w:r>
        <w:rPr>
          <w:rFonts w:asciiTheme="minorHAnsi" w:hAnsiTheme="minorHAnsi"/>
          <w:szCs w:val="28"/>
        </w:rPr>
        <w:t xml:space="preserve"> </w:t>
      </w:r>
      <w:r>
        <w:rPr>
          <w:szCs w:val="28"/>
        </w:rPr>
        <w:t>(у разі якщо таке повідомлення є обов’язковим); або прийнятті рішення про права і обов'язки осіб, що не були залучені до участі у справі; або прийнятті рішення не тими суддями, які входили до складу колегії, що розглядала справу; або порушенні вимог кримінального процесуального закону, які визначені цим законом</w:t>
      </w:r>
      <w:r>
        <w:rPr>
          <w:rFonts w:asciiTheme="minorHAnsi" w:hAnsiTheme="minorHAnsi"/>
          <w:szCs w:val="28"/>
        </w:rPr>
        <w:t xml:space="preserve"> </w:t>
      </w:r>
      <w:r>
        <w:rPr>
          <w:szCs w:val="28"/>
        </w:rPr>
        <w:t>істотними, -</w:t>
      </w:r>
    </w:p>
    <w:p w:rsidR="006F13A0" w:rsidRDefault="006F13A0" w:rsidP="006F13A0">
      <w:pPr>
        <w:pStyle w:val="StyleZakonu"/>
        <w:spacing w:after="0" w:line="240" w:lineRule="auto"/>
        <w:ind w:firstLine="720"/>
        <w:rPr>
          <w:rFonts w:ascii="Times New Roman" w:hAnsi="Times New Roman"/>
          <w:color w:val="000000"/>
          <w:sz w:val="28"/>
          <w:szCs w:val="28"/>
        </w:rPr>
      </w:pPr>
      <w:r>
        <w:rPr>
          <w:rFonts w:ascii="Times New Roman" w:hAnsi="Times New Roman"/>
          <w:color w:val="000000"/>
          <w:sz w:val="28"/>
          <w:szCs w:val="28"/>
        </w:rPr>
        <w:t>карається обмеженням волі на строк до п'яти років або позбавленням волі на строк від двох до п'яти років.</w:t>
      </w:r>
    </w:p>
    <w:p w:rsidR="006F13A0" w:rsidRDefault="006F13A0" w:rsidP="006F13A0">
      <w:pPr>
        <w:pStyle w:val="StyleZakonu"/>
        <w:spacing w:after="0" w:line="240" w:lineRule="auto"/>
        <w:ind w:firstLine="720"/>
        <w:rPr>
          <w:rFonts w:ascii="Times New Roman" w:eastAsia="Times New Roman" w:hAnsi="Times New Roman"/>
          <w:sz w:val="28"/>
          <w:szCs w:val="28"/>
          <w:lang w:eastAsia="uk-UA"/>
        </w:rPr>
      </w:pPr>
      <w:r>
        <w:rPr>
          <w:rFonts w:ascii="Times New Roman" w:hAnsi="Times New Roman"/>
          <w:color w:val="000000"/>
          <w:sz w:val="28"/>
          <w:szCs w:val="28"/>
        </w:rPr>
        <w:t>2</w:t>
      </w:r>
      <w:r>
        <w:rPr>
          <w:rFonts w:ascii="Times New Roman" w:eastAsia="Times New Roman" w:hAnsi="Times New Roman"/>
          <w:sz w:val="28"/>
          <w:szCs w:val="28"/>
          <w:lang w:eastAsia="uk-UA"/>
        </w:rPr>
        <w:t>. Ті самі дії, що спричинили тяжкі наслідки, -</w:t>
      </w:r>
    </w:p>
    <w:p w:rsidR="006F13A0" w:rsidRDefault="006F13A0" w:rsidP="006F13A0">
      <w:pPr>
        <w:ind w:firstLine="708"/>
        <w:jc w:val="both"/>
        <w:rPr>
          <w:szCs w:val="28"/>
          <w:lang w:eastAsia="zh-CN"/>
        </w:rPr>
      </w:pPr>
      <w:r>
        <w:rPr>
          <w:color w:val="000000"/>
          <w:szCs w:val="28"/>
        </w:rPr>
        <w:t>караються позбавленням волі на строк від п'яти до восьми років</w:t>
      </w:r>
      <w:r>
        <w:rPr>
          <w:szCs w:val="28"/>
        </w:rPr>
        <w:t>».</w:t>
      </w:r>
    </w:p>
    <w:p w:rsidR="00C36682" w:rsidRPr="00C437F0" w:rsidRDefault="00C36682" w:rsidP="00C36682">
      <w:pPr>
        <w:shd w:val="clear" w:color="auto" w:fill="FFFFFF"/>
        <w:tabs>
          <w:tab w:val="left" w:pos="851"/>
          <w:tab w:val="left" w:pos="993"/>
        </w:tabs>
        <w:ind w:firstLine="720"/>
        <w:jc w:val="both"/>
        <w:rPr>
          <w:i/>
          <w:szCs w:val="28"/>
        </w:rPr>
      </w:pPr>
    </w:p>
    <w:p w:rsidR="00C36682" w:rsidRDefault="00C36682" w:rsidP="00C36682">
      <w:pPr>
        <w:tabs>
          <w:tab w:val="center" w:pos="4819"/>
          <w:tab w:val="right" w:pos="9639"/>
        </w:tabs>
        <w:jc w:val="both"/>
        <w:rPr>
          <w:b/>
          <w:bCs/>
          <w:spacing w:val="-2"/>
          <w:szCs w:val="28"/>
        </w:rPr>
      </w:pPr>
      <w:r w:rsidRPr="007013B6">
        <w:rPr>
          <w:b/>
          <w:bCs/>
          <w:spacing w:val="-2"/>
          <w:szCs w:val="28"/>
        </w:rPr>
        <w:lastRenderedPageBreak/>
        <w:t xml:space="preserve">        </w:t>
      </w:r>
      <w:r>
        <w:rPr>
          <w:b/>
          <w:bCs/>
          <w:spacing w:val="-2"/>
          <w:szCs w:val="28"/>
        </w:rPr>
        <w:t>4. Стан нормативної бази в даній сфері державного регулювання</w:t>
      </w:r>
    </w:p>
    <w:p w:rsidR="006F13A0" w:rsidRDefault="00C36682" w:rsidP="006F13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szCs w:val="28"/>
          <w:shd w:val="clear" w:color="auto" w:fill="FFFFFF"/>
        </w:rPr>
      </w:pPr>
      <w:r>
        <w:rPr>
          <w:bCs/>
          <w:spacing w:val="-2"/>
          <w:szCs w:val="28"/>
        </w:rPr>
        <w:t xml:space="preserve">  </w:t>
      </w:r>
      <w:r w:rsidR="006F13A0">
        <w:rPr>
          <w:szCs w:val="28"/>
        </w:rPr>
        <w:t xml:space="preserve">Основними нормативно-правовими актами, що регулюють дану сферу правовідносин, є </w:t>
      </w:r>
      <w:r w:rsidR="006F13A0">
        <w:rPr>
          <w:szCs w:val="28"/>
          <w:shd w:val="clear" w:color="auto" w:fill="FFFFFF"/>
        </w:rPr>
        <w:t xml:space="preserve">Конституція України, Кримінальний кодекс України, Кримінальний процесуальний кодекс України, </w:t>
      </w:r>
      <w:r w:rsidR="006F13A0">
        <w:rPr>
          <w:rStyle w:val="a7"/>
          <w:i w:val="0"/>
          <w:iCs/>
        </w:rPr>
        <w:t>міжнародні договори</w:t>
      </w:r>
      <w:r w:rsidR="006F13A0">
        <w:rPr>
          <w:rStyle w:val="st"/>
          <w:i/>
          <w:szCs w:val="28"/>
        </w:rPr>
        <w:t xml:space="preserve">, </w:t>
      </w:r>
      <w:r w:rsidR="006F13A0">
        <w:rPr>
          <w:rStyle w:val="a7"/>
          <w:i w:val="0"/>
          <w:iCs/>
        </w:rPr>
        <w:t>згода</w:t>
      </w:r>
      <w:r w:rsidR="006F13A0">
        <w:rPr>
          <w:rStyle w:val="st"/>
          <w:i/>
          <w:szCs w:val="28"/>
        </w:rPr>
        <w:t xml:space="preserve"> </w:t>
      </w:r>
      <w:r w:rsidR="006F13A0">
        <w:rPr>
          <w:rStyle w:val="st"/>
          <w:szCs w:val="28"/>
        </w:rPr>
        <w:t xml:space="preserve">на обов'язковість </w:t>
      </w:r>
      <w:r w:rsidR="006F13A0">
        <w:rPr>
          <w:rStyle w:val="a7"/>
          <w:i w:val="0"/>
          <w:iCs/>
        </w:rPr>
        <w:t>яких надана Верховною Радою України</w:t>
      </w:r>
      <w:r w:rsidR="006F13A0">
        <w:rPr>
          <w:i/>
          <w:szCs w:val="28"/>
          <w:shd w:val="clear" w:color="auto" w:fill="FFFFFF"/>
        </w:rPr>
        <w:t>.</w:t>
      </w:r>
    </w:p>
    <w:p w:rsidR="00C36682" w:rsidRPr="000A5936" w:rsidRDefault="00C36682" w:rsidP="00C36682">
      <w:pPr>
        <w:tabs>
          <w:tab w:val="left" w:pos="4536"/>
        </w:tabs>
        <w:ind w:hanging="426"/>
        <w:jc w:val="both"/>
        <w:rPr>
          <w:bCs/>
          <w:szCs w:val="28"/>
        </w:rPr>
      </w:pPr>
    </w:p>
    <w:p w:rsidR="00C36682" w:rsidRPr="009D212F" w:rsidRDefault="00C36682" w:rsidP="00C36682">
      <w:pPr>
        <w:tabs>
          <w:tab w:val="left" w:pos="1080"/>
        </w:tabs>
        <w:jc w:val="both"/>
      </w:pPr>
      <w:r>
        <w:t xml:space="preserve">           </w:t>
      </w:r>
      <w:r w:rsidRPr="009D212F">
        <w:t>Прийняття даного законопроекту не потребує внесення змін до інших законодавчих актів України.</w:t>
      </w:r>
    </w:p>
    <w:p w:rsidR="00C36682" w:rsidRDefault="00C36682" w:rsidP="00C36682">
      <w:pPr>
        <w:tabs>
          <w:tab w:val="left" w:pos="4536"/>
        </w:tabs>
        <w:jc w:val="both"/>
        <w:rPr>
          <w:bCs/>
          <w:spacing w:val="-2"/>
          <w:szCs w:val="28"/>
        </w:rPr>
      </w:pPr>
      <w:r>
        <w:rPr>
          <w:bCs/>
          <w:spacing w:val="-2"/>
          <w:szCs w:val="28"/>
        </w:rPr>
        <w:t xml:space="preserve">           </w:t>
      </w:r>
    </w:p>
    <w:p w:rsidR="00C36682" w:rsidRDefault="00C36682" w:rsidP="00C36682">
      <w:pPr>
        <w:tabs>
          <w:tab w:val="left" w:pos="4536"/>
        </w:tabs>
        <w:ind w:left="993" w:hanging="426"/>
        <w:jc w:val="both"/>
        <w:rPr>
          <w:b/>
          <w:bCs/>
          <w:spacing w:val="-2"/>
          <w:szCs w:val="28"/>
        </w:rPr>
      </w:pPr>
      <w:r>
        <w:rPr>
          <w:b/>
          <w:bCs/>
          <w:spacing w:val="-2"/>
          <w:szCs w:val="28"/>
        </w:rPr>
        <w:t>5. Фінансово-економічне обґрунтування</w:t>
      </w:r>
    </w:p>
    <w:p w:rsidR="00C36682" w:rsidRDefault="00C36682" w:rsidP="00C36682">
      <w:pPr>
        <w:pStyle w:val="2"/>
        <w:spacing w:line="240" w:lineRule="auto"/>
        <w:ind w:firstLine="708"/>
        <w:jc w:val="both"/>
        <w:rPr>
          <w:rFonts w:ascii="Times New Roman" w:hAnsi="Times New Roman"/>
          <w:sz w:val="28"/>
          <w:szCs w:val="28"/>
        </w:rPr>
      </w:pPr>
      <w:r w:rsidRPr="00C503EE">
        <w:rPr>
          <w:rFonts w:ascii="Times New Roman" w:hAnsi="Times New Roman"/>
          <w:sz w:val="28"/>
          <w:szCs w:val="28"/>
        </w:rPr>
        <w:t xml:space="preserve">Прийняття законопроекту не </w:t>
      </w:r>
      <w:r>
        <w:rPr>
          <w:rFonts w:ascii="Times New Roman" w:hAnsi="Times New Roman"/>
          <w:sz w:val="28"/>
          <w:szCs w:val="28"/>
        </w:rPr>
        <w:t>потребує  додаткових витрат з Д</w:t>
      </w:r>
      <w:r w:rsidRPr="00C503EE">
        <w:rPr>
          <w:rFonts w:ascii="Times New Roman" w:hAnsi="Times New Roman"/>
          <w:sz w:val="28"/>
          <w:szCs w:val="28"/>
        </w:rPr>
        <w:t>ержавного бюджет</w:t>
      </w:r>
      <w:r>
        <w:rPr>
          <w:rFonts w:ascii="Times New Roman" w:hAnsi="Times New Roman"/>
          <w:sz w:val="28"/>
          <w:szCs w:val="28"/>
        </w:rPr>
        <w:t>у України</w:t>
      </w:r>
      <w:r w:rsidRPr="00C503EE">
        <w:rPr>
          <w:rFonts w:ascii="Times New Roman" w:hAnsi="Times New Roman"/>
          <w:sz w:val="28"/>
          <w:szCs w:val="28"/>
        </w:rPr>
        <w:t>.</w:t>
      </w:r>
    </w:p>
    <w:p w:rsidR="00C36682" w:rsidRDefault="00C36682" w:rsidP="00C36682">
      <w:pPr>
        <w:pStyle w:val="2"/>
        <w:spacing w:line="240" w:lineRule="auto"/>
        <w:ind w:firstLine="708"/>
        <w:jc w:val="both"/>
        <w:rPr>
          <w:rFonts w:ascii="Times New Roman" w:hAnsi="Times New Roman"/>
          <w:sz w:val="28"/>
          <w:szCs w:val="28"/>
        </w:rPr>
      </w:pPr>
    </w:p>
    <w:p w:rsidR="00C36682" w:rsidRDefault="00C36682" w:rsidP="00C36682">
      <w:pPr>
        <w:tabs>
          <w:tab w:val="left" w:pos="4536"/>
        </w:tabs>
        <w:ind w:left="993" w:hanging="426"/>
        <w:jc w:val="both"/>
        <w:rPr>
          <w:b/>
          <w:bCs/>
          <w:spacing w:val="-2"/>
          <w:szCs w:val="28"/>
        </w:rPr>
      </w:pPr>
      <w:r>
        <w:rPr>
          <w:b/>
          <w:bCs/>
          <w:spacing w:val="-2"/>
          <w:szCs w:val="28"/>
        </w:rPr>
        <w:t xml:space="preserve">6. Прогноз соціально-економічних та інших наслідків прийняття </w:t>
      </w:r>
      <w:r w:rsidR="00991772">
        <w:rPr>
          <w:b/>
          <w:bCs/>
          <w:spacing w:val="-2"/>
          <w:szCs w:val="28"/>
        </w:rPr>
        <w:t>проекту з</w:t>
      </w:r>
      <w:r>
        <w:rPr>
          <w:b/>
          <w:bCs/>
          <w:spacing w:val="-2"/>
          <w:szCs w:val="28"/>
        </w:rPr>
        <w:t xml:space="preserve">акону </w:t>
      </w:r>
    </w:p>
    <w:p w:rsidR="006F13A0" w:rsidRDefault="006F13A0" w:rsidP="006F13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Cs w:val="28"/>
        </w:rPr>
      </w:pPr>
      <w:r>
        <w:rPr>
          <w:bCs/>
          <w:szCs w:val="28"/>
        </w:rPr>
        <w:t xml:space="preserve">Прийняття даного проекту Закону </w:t>
      </w:r>
      <w:r w:rsidR="00C2557E">
        <w:rPr>
          <w:szCs w:val="28"/>
          <w:shd w:val="clear" w:color="auto" w:fill="FFFFFF"/>
        </w:rPr>
        <w:t>сприятиме дотриманню</w:t>
      </w:r>
      <w:r>
        <w:rPr>
          <w:szCs w:val="28"/>
          <w:shd w:val="clear" w:color="auto" w:fill="FFFFFF"/>
        </w:rPr>
        <w:t xml:space="preserve"> вимог принципу </w:t>
      </w:r>
      <w:r>
        <w:rPr>
          <w:szCs w:val="28"/>
        </w:rPr>
        <w:t>правової визначеності та сприятиме запобіганню тиску на судову владу з боку правоохоронних органів</w:t>
      </w:r>
      <w:r>
        <w:rPr>
          <w:bCs/>
          <w:szCs w:val="28"/>
        </w:rPr>
        <w:t>.</w:t>
      </w:r>
    </w:p>
    <w:p w:rsidR="00C36682" w:rsidRDefault="00C36682" w:rsidP="00C36682">
      <w:pPr>
        <w:shd w:val="clear" w:color="auto" w:fill="FFFFFF"/>
        <w:tabs>
          <w:tab w:val="left" w:pos="851"/>
          <w:tab w:val="left" w:pos="993"/>
        </w:tabs>
        <w:ind w:firstLine="720"/>
        <w:jc w:val="both"/>
        <w:rPr>
          <w:szCs w:val="28"/>
          <w:lang w:eastAsia="en-GB"/>
        </w:rPr>
      </w:pPr>
    </w:p>
    <w:p w:rsidR="00C36682" w:rsidRDefault="00C36682" w:rsidP="00C36682">
      <w:pPr>
        <w:shd w:val="clear" w:color="auto" w:fill="FFFFFF"/>
        <w:tabs>
          <w:tab w:val="left" w:pos="851"/>
          <w:tab w:val="left" w:pos="993"/>
        </w:tabs>
        <w:ind w:firstLine="720"/>
        <w:jc w:val="both"/>
        <w:rPr>
          <w:szCs w:val="28"/>
          <w:lang w:eastAsia="en-GB"/>
        </w:rPr>
      </w:pPr>
    </w:p>
    <w:p w:rsidR="00C36682" w:rsidRPr="00736997" w:rsidRDefault="00C36682" w:rsidP="00C36682">
      <w:pPr>
        <w:shd w:val="clear" w:color="auto" w:fill="FFFFFF"/>
        <w:tabs>
          <w:tab w:val="left" w:pos="851"/>
          <w:tab w:val="left" w:pos="993"/>
        </w:tabs>
        <w:ind w:firstLine="720"/>
        <w:jc w:val="both"/>
        <w:rPr>
          <w:b/>
          <w:szCs w:val="28"/>
          <w:lang w:eastAsia="en-GB"/>
        </w:rPr>
      </w:pPr>
      <w:r w:rsidRPr="00736997">
        <w:rPr>
          <w:b/>
          <w:szCs w:val="28"/>
          <w:lang w:eastAsia="en-GB"/>
        </w:rPr>
        <w:t>Народні депутати України</w:t>
      </w:r>
    </w:p>
    <w:p w:rsidR="00C36682" w:rsidRPr="005B70FB" w:rsidRDefault="00C36682" w:rsidP="00C36682">
      <w:pPr>
        <w:shd w:val="clear" w:color="auto" w:fill="FFFFFF"/>
        <w:tabs>
          <w:tab w:val="left" w:pos="851"/>
          <w:tab w:val="left" w:pos="993"/>
        </w:tabs>
        <w:ind w:firstLine="720"/>
        <w:jc w:val="both"/>
        <w:rPr>
          <w:color w:val="000000"/>
          <w:szCs w:val="28"/>
        </w:rPr>
      </w:pPr>
    </w:p>
    <w:p w:rsidR="0019039A" w:rsidRPr="009D4188" w:rsidRDefault="0019039A"/>
    <w:sectPr w:rsidR="0019039A" w:rsidRPr="009D41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Liberation Serif;Times New Roma">
    <w:altName w:val="Times New Roman"/>
    <w:panose1 w:val="00000000000000000000"/>
    <w:charset w:val="00"/>
    <w:family w:val="roman"/>
    <w:notTrueType/>
    <w:pitch w:val="default"/>
    <w:sig w:usb0="00000003" w:usb1="00000000" w:usb2="00000000" w:usb3="00000000" w:csb0="00000001" w:csb1="00000000"/>
  </w:font>
  <w:font w:name="FreeSans">
    <w:altName w:val="Times New Roman"/>
    <w:panose1 w:val="00000000000000000000"/>
    <w:charset w:val="CC"/>
    <w:family w:val="auto"/>
    <w:notTrueType/>
    <w:pitch w:val="variable"/>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BB7B64"/>
    <w:multiLevelType w:val="hybridMultilevel"/>
    <w:tmpl w:val="5178F4FC"/>
    <w:lvl w:ilvl="0" w:tplc="4E4872E6">
      <w:start w:val="1"/>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682"/>
    <w:rsid w:val="000C463E"/>
    <w:rsid w:val="000E3F76"/>
    <w:rsid w:val="001663F8"/>
    <w:rsid w:val="0019039A"/>
    <w:rsid w:val="002E2E62"/>
    <w:rsid w:val="00334C40"/>
    <w:rsid w:val="006F13A0"/>
    <w:rsid w:val="00991772"/>
    <w:rsid w:val="009D4188"/>
    <w:rsid w:val="00AC0B9D"/>
    <w:rsid w:val="00B22B4D"/>
    <w:rsid w:val="00C2557E"/>
    <w:rsid w:val="00C36682"/>
    <w:rsid w:val="00DF54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5E3C80-2B8E-4F6D-A121-933312D3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sz w:val="16"/>
        <w:szCs w:val="16"/>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682"/>
    <w:rPr>
      <w:rFonts w:ascii="Times New Roman" w:eastAsia="Times New Roman" w:hAnsi="Times New Roman" w:cs="Times New Roman"/>
      <w:sz w:val="28"/>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Назва Знак1"/>
    <w:basedOn w:val="a0"/>
    <w:link w:val="a3"/>
    <w:uiPriority w:val="99"/>
    <w:locked/>
    <w:rsid w:val="00C36682"/>
    <w:rPr>
      <w:rFonts w:cs="Times New Roman"/>
      <w:b/>
      <w:bCs/>
      <w:spacing w:val="-2"/>
      <w:sz w:val="28"/>
      <w:szCs w:val="28"/>
      <w:lang w:val="x-none" w:eastAsia="ru-RU"/>
    </w:rPr>
  </w:style>
  <w:style w:type="paragraph" w:styleId="a3">
    <w:name w:val="Title"/>
    <w:basedOn w:val="a"/>
    <w:link w:val="1"/>
    <w:uiPriority w:val="99"/>
    <w:qFormat/>
    <w:rsid w:val="00C36682"/>
    <w:pPr>
      <w:pageBreakBefore/>
      <w:tabs>
        <w:tab w:val="left" w:pos="4536"/>
      </w:tabs>
      <w:autoSpaceDE w:val="0"/>
      <w:autoSpaceDN w:val="0"/>
      <w:jc w:val="center"/>
    </w:pPr>
    <w:rPr>
      <w:rFonts w:asciiTheme="minorHAnsi" w:eastAsiaTheme="minorHAnsi" w:hAnsiTheme="minorHAnsi"/>
      <w:b/>
      <w:bCs/>
      <w:spacing w:val="-2"/>
      <w:szCs w:val="28"/>
      <w:lang w:val="x-none" w:eastAsia="ru-RU"/>
    </w:rPr>
  </w:style>
  <w:style w:type="character" w:customStyle="1" w:styleId="a4">
    <w:name w:val="Назва Знак"/>
    <w:basedOn w:val="a0"/>
    <w:uiPriority w:val="10"/>
    <w:rsid w:val="00C36682"/>
    <w:rPr>
      <w:rFonts w:asciiTheme="majorHAnsi" w:eastAsiaTheme="majorEastAsia" w:hAnsiTheme="majorHAnsi" w:cstheme="majorBidi"/>
      <w:spacing w:val="-10"/>
      <w:kern w:val="28"/>
      <w:sz w:val="56"/>
      <w:szCs w:val="56"/>
      <w:lang w:eastAsia="uk-UA"/>
    </w:rPr>
  </w:style>
  <w:style w:type="character" w:customStyle="1" w:styleId="21">
    <w:name w:val="Основний текст 2 Знак1"/>
    <w:basedOn w:val="a0"/>
    <w:link w:val="2"/>
    <w:uiPriority w:val="99"/>
    <w:locked/>
    <w:rsid w:val="00C36682"/>
    <w:rPr>
      <w:rFonts w:cs="Times New Roman"/>
      <w:sz w:val="24"/>
      <w:szCs w:val="24"/>
      <w:lang w:val="x-none" w:eastAsia="x-none"/>
    </w:rPr>
  </w:style>
  <w:style w:type="paragraph" w:styleId="2">
    <w:name w:val="Body Text 2"/>
    <w:basedOn w:val="a"/>
    <w:link w:val="21"/>
    <w:uiPriority w:val="99"/>
    <w:rsid w:val="00C36682"/>
    <w:pPr>
      <w:spacing w:after="120" w:line="480" w:lineRule="auto"/>
    </w:pPr>
    <w:rPr>
      <w:rFonts w:asciiTheme="minorHAnsi" w:eastAsiaTheme="minorHAnsi" w:hAnsiTheme="minorHAnsi"/>
      <w:sz w:val="24"/>
      <w:lang w:val="x-none" w:eastAsia="x-none"/>
    </w:rPr>
  </w:style>
  <w:style w:type="character" w:customStyle="1" w:styleId="20">
    <w:name w:val="Основний текст 2 Знак"/>
    <w:basedOn w:val="a0"/>
    <w:uiPriority w:val="99"/>
    <w:semiHidden/>
    <w:rsid w:val="00C36682"/>
    <w:rPr>
      <w:rFonts w:ascii="Times New Roman" w:eastAsia="Times New Roman" w:hAnsi="Times New Roman" w:cs="Times New Roman"/>
      <w:sz w:val="28"/>
      <w:szCs w:val="24"/>
      <w:lang w:eastAsia="uk-UA"/>
    </w:rPr>
  </w:style>
  <w:style w:type="character" w:customStyle="1" w:styleId="rvts23">
    <w:name w:val="rvts23"/>
    <w:basedOn w:val="a0"/>
    <w:rsid w:val="00C36682"/>
    <w:rPr>
      <w:rFonts w:cs="Times New Roman"/>
    </w:rPr>
  </w:style>
  <w:style w:type="paragraph" w:styleId="a5">
    <w:name w:val="Normal (Web)"/>
    <w:basedOn w:val="a"/>
    <w:uiPriority w:val="99"/>
    <w:semiHidden/>
    <w:unhideWhenUsed/>
    <w:rsid w:val="00334C40"/>
    <w:pPr>
      <w:suppressAutoHyphens/>
      <w:overflowPunct w:val="0"/>
      <w:spacing w:before="100" w:after="100"/>
    </w:pPr>
    <w:rPr>
      <w:rFonts w:ascii="Liberation Serif;Times New Roma" w:hAnsi="Liberation Serif;Times New Roma" w:cs="Liberation Serif;Times New Roma"/>
      <w:color w:val="00000A"/>
      <w:sz w:val="24"/>
    </w:rPr>
  </w:style>
  <w:style w:type="paragraph" w:styleId="a6">
    <w:name w:val="List Paragraph"/>
    <w:basedOn w:val="a"/>
    <w:uiPriority w:val="34"/>
    <w:qFormat/>
    <w:rsid w:val="00334C40"/>
    <w:pPr>
      <w:ind w:left="720"/>
      <w:contextualSpacing/>
    </w:pPr>
  </w:style>
  <w:style w:type="paragraph" w:customStyle="1" w:styleId="StyleZakonu">
    <w:name w:val="StyleZakonu"/>
    <w:basedOn w:val="a"/>
    <w:uiPriority w:val="99"/>
    <w:rsid w:val="006F13A0"/>
    <w:pPr>
      <w:spacing w:after="60" w:line="220" w:lineRule="exact"/>
      <w:ind w:firstLine="284"/>
      <w:jc w:val="both"/>
    </w:pPr>
    <w:rPr>
      <w:rFonts w:asciiTheme="minorHAnsi" w:eastAsiaTheme="minorEastAsia" w:hAnsiTheme="minorHAnsi"/>
      <w:sz w:val="20"/>
      <w:szCs w:val="20"/>
      <w:lang w:eastAsia="ru-RU"/>
    </w:rPr>
  </w:style>
  <w:style w:type="character" w:styleId="a7">
    <w:name w:val="Emphasis"/>
    <w:basedOn w:val="a0"/>
    <w:uiPriority w:val="20"/>
    <w:qFormat/>
    <w:rsid w:val="006F13A0"/>
    <w:rPr>
      <w:rFonts w:ascii="Times New Roman" w:hAnsi="Times New Roman" w:cs="Times New Roman" w:hint="default"/>
      <w:i/>
      <w:iCs w:val="0"/>
    </w:rPr>
  </w:style>
  <w:style w:type="character" w:customStyle="1" w:styleId="st">
    <w:name w:val="st"/>
    <w:basedOn w:val="a0"/>
    <w:rsid w:val="006F13A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28792">
      <w:bodyDiv w:val="1"/>
      <w:marLeft w:val="0"/>
      <w:marRight w:val="0"/>
      <w:marTop w:val="0"/>
      <w:marBottom w:val="0"/>
      <w:divBdr>
        <w:top w:val="none" w:sz="0" w:space="0" w:color="auto"/>
        <w:left w:val="none" w:sz="0" w:space="0" w:color="auto"/>
        <w:bottom w:val="none" w:sz="0" w:space="0" w:color="auto"/>
        <w:right w:val="none" w:sz="0" w:space="0" w:color="auto"/>
      </w:divBdr>
    </w:div>
    <w:div w:id="290675632">
      <w:bodyDiv w:val="1"/>
      <w:marLeft w:val="0"/>
      <w:marRight w:val="0"/>
      <w:marTop w:val="0"/>
      <w:marBottom w:val="0"/>
      <w:divBdr>
        <w:top w:val="none" w:sz="0" w:space="0" w:color="auto"/>
        <w:left w:val="none" w:sz="0" w:space="0" w:color="auto"/>
        <w:bottom w:val="none" w:sz="0" w:space="0" w:color="auto"/>
        <w:right w:val="none" w:sz="0" w:space="0" w:color="auto"/>
      </w:divBdr>
    </w:div>
    <w:div w:id="453596165">
      <w:bodyDiv w:val="1"/>
      <w:marLeft w:val="0"/>
      <w:marRight w:val="0"/>
      <w:marTop w:val="0"/>
      <w:marBottom w:val="0"/>
      <w:divBdr>
        <w:top w:val="none" w:sz="0" w:space="0" w:color="auto"/>
        <w:left w:val="none" w:sz="0" w:space="0" w:color="auto"/>
        <w:bottom w:val="none" w:sz="0" w:space="0" w:color="auto"/>
        <w:right w:val="none" w:sz="0" w:space="0" w:color="auto"/>
      </w:divBdr>
    </w:div>
    <w:div w:id="598216375">
      <w:bodyDiv w:val="1"/>
      <w:marLeft w:val="0"/>
      <w:marRight w:val="0"/>
      <w:marTop w:val="0"/>
      <w:marBottom w:val="0"/>
      <w:divBdr>
        <w:top w:val="none" w:sz="0" w:space="0" w:color="auto"/>
        <w:left w:val="none" w:sz="0" w:space="0" w:color="auto"/>
        <w:bottom w:val="none" w:sz="0" w:space="0" w:color="auto"/>
        <w:right w:val="none" w:sz="0" w:space="0" w:color="auto"/>
      </w:divBdr>
    </w:div>
    <w:div w:id="631905936">
      <w:bodyDiv w:val="1"/>
      <w:marLeft w:val="0"/>
      <w:marRight w:val="0"/>
      <w:marTop w:val="0"/>
      <w:marBottom w:val="0"/>
      <w:divBdr>
        <w:top w:val="none" w:sz="0" w:space="0" w:color="auto"/>
        <w:left w:val="none" w:sz="0" w:space="0" w:color="auto"/>
        <w:bottom w:val="none" w:sz="0" w:space="0" w:color="auto"/>
        <w:right w:val="none" w:sz="0" w:space="0" w:color="auto"/>
      </w:divBdr>
    </w:div>
    <w:div w:id="147845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35F56-C3E1-4A68-B9A7-D5957A4D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8051</Words>
  <Characters>4590</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Новіков Михайло Миколайович</dc:creator>
  <cp:keywords/>
  <dc:description/>
  <cp:lastModifiedBy>Новіков Михайло Миколайович</cp:lastModifiedBy>
  <cp:revision>22</cp:revision>
  <dcterms:created xsi:type="dcterms:W3CDTF">2020-05-28T09:22:00Z</dcterms:created>
  <dcterms:modified xsi:type="dcterms:W3CDTF">2020-06-01T11:17:00Z</dcterms:modified>
</cp:coreProperties>
</file>