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4ED1" w:rsidRPr="00EE1DDA" w:rsidRDefault="00D91075">
      <w:pPr>
        <w:spacing w:after="0"/>
        <w:jc w:val="center"/>
        <w:rPr>
          <w:rFonts w:ascii="Times New Roman" w:eastAsia="Times New Roman" w:hAnsi="Times New Roman" w:cs="Times New Roman"/>
          <w:b/>
          <w:sz w:val="32"/>
          <w:szCs w:val="32"/>
        </w:rPr>
      </w:pPr>
      <w:bookmarkStart w:id="0" w:name="_GoBack"/>
      <w:bookmarkEnd w:id="0"/>
      <w:r w:rsidRPr="00EE1DDA">
        <w:rPr>
          <w:rFonts w:ascii="Times New Roman" w:eastAsia="Times New Roman" w:hAnsi="Times New Roman" w:cs="Times New Roman"/>
          <w:b/>
          <w:sz w:val="32"/>
          <w:szCs w:val="32"/>
        </w:rPr>
        <w:t>ПОРІВНЯЛЬНА ТАБЛИЦЯ</w:t>
      </w:r>
    </w:p>
    <w:p w:rsidR="00EE1DDA" w:rsidRPr="00EE1DDA" w:rsidRDefault="00EE1DDA" w:rsidP="00EE1DDA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</w:pBd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E1DDA">
        <w:rPr>
          <w:rFonts w:ascii="Times New Roman" w:hAnsi="Times New Roman" w:cs="Times New Roman"/>
          <w:b/>
          <w:sz w:val="28"/>
          <w:szCs w:val="28"/>
        </w:rPr>
        <w:t xml:space="preserve">до </w:t>
      </w:r>
      <w:proofErr w:type="spellStart"/>
      <w:r w:rsidRPr="00EE1DDA">
        <w:rPr>
          <w:rFonts w:ascii="Times New Roman" w:hAnsi="Times New Roman" w:cs="Times New Roman"/>
          <w:b/>
          <w:sz w:val="28"/>
          <w:szCs w:val="28"/>
        </w:rPr>
        <w:t>проєкту</w:t>
      </w:r>
      <w:proofErr w:type="spellEnd"/>
      <w:r w:rsidRPr="00EE1DDA">
        <w:rPr>
          <w:rFonts w:ascii="Times New Roman" w:hAnsi="Times New Roman" w:cs="Times New Roman"/>
          <w:b/>
          <w:sz w:val="28"/>
          <w:szCs w:val="28"/>
        </w:rPr>
        <w:t xml:space="preserve"> закону "Про внесення змін до деяких законів України щодо забезпечення професійного розвитку педагогічних працівників та надання їм методичної підтримки"</w:t>
      </w:r>
    </w:p>
    <w:p w:rsidR="00BA4ED1" w:rsidRPr="00EE1DDA" w:rsidRDefault="00BA4ED1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</w:pPr>
    </w:p>
    <w:tbl>
      <w:tblPr>
        <w:tblStyle w:val="a5"/>
        <w:tblW w:w="15120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7545"/>
        <w:gridCol w:w="7575"/>
      </w:tblGrid>
      <w:tr w:rsidR="00EE1DDA" w:rsidRPr="00EE1DDA" w:rsidTr="009D0DF2">
        <w:tc>
          <w:tcPr>
            <w:tcW w:w="7545" w:type="dxa"/>
          </w:tcPr>
          <w:p w:rsidR="00EE1DDA" w:rsidRPr="00EE1DDA" w:rsidRDefault="00EE1DDA" w:rsidP="009D0DF2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1DDA">
              <w:rPr>
                <w:rFonts w:ascii="Times New Roman" w:hAnsi="Times New Roman" w:cs="Times New Roman"/>
                <w:b/>
                <w:sz w:val="28"/>
                <w:szCs w:val="28"/>
              </w:rPr>
              <w:t>Зміст положення (норми) чинного акту</w:t>
            </w:r>
          </w:p>
        </w:tc>
        <w:tc>
          <w:tcPr>
            <w:tcW w:w="7575" w:type="dxa"/>
          </w:tcPr>
          <w:p w:rsidR="00EE1DDA" w:rsidRPr="00EE1DDA" w:rsidRDefault="00EE1DDA" w:rsidP="009D0DF2">
            <w:pPr>
              <w:shd w:val="clear" w:color="auto" w:fill="FFFFFF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1D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Зміст відповідного положення (норми) </w:t>
            </w:r>
            <w:proofErr w:type="spellStart"/>
            <w:r w:rsidRPr="00EE1DDA">
              <w:rPr>
                <w:rFonts w:ascii="Times New Roman" w:hAnsi="Times New Roman" w:cs="Times New Roman"/>
                <w:b/>
                <w:sz w:val="28"/>
                <w:szCs w:val="28"/>
              </w:rPr>
              <w:t>проєкту</w:t>
            </w:r>
            <w:proofErr w:type="spellEnd"/>
            <w:r w:rsidRPr="00EE1DD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акту</w:t>
            </w:r>
          </w:p>
        </w:tc>
      </w:tr>
      <w:tr w:rsidR="00EE1DDA" w:rsidRPr="00EE1DDA" w:rsidTr="009D0DF2">
        <w:tc>
          <w:tcPr>
            <w:tcW w:w="7545" w:type="dxa"/>
          </w:tcPr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75" w:type="dxa"/>
          </w:tcPr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1DDA" w:rsidRPr="00EE1DDA" w:rsidTr="009D0DF2">
        <w:tc>
          <w:tcPr>
            <w:tcW w:w="7545" w:type="dxa"/>
          </w:tcPr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_gjdgxs" w:colFirst="0" w:colLast="0"/>
            <w:bookmarkEnd w:id="1"/>
          </w:p>
        </w:tc>
        <w:tc>
          <w:tcPr>
            <w:tcW w:w="7575" w:type="dxa"/>
          </w:tcPr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1DDA" w:rsidRPr="00EE1DDA" w:rsidTr="009D0DF2">
        <w:trPr>
          <w:trHeight w:val="280"/>
        </w:trPr>
        <w:tc>
          <w:tcPr>
            <w:tcW w:w="15120" w:type="dxa"/>
            <w:gridSpan w:val="2"/>
            <w:tcBorders>
              <w:bottom w:val="single" w:sz="4" w:space="0" w:color="000000"/>
            </w:tcBorders>
          </w:tcPr>
          <w:p w:rsidR="00EE1DDA" w:rsidRPr="00EE1DDA" w:rsidRDefault="00EE1DDA" w:rsidP="009D0D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1DDA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 xml:space="preserve">Закон України </w:t>
            </w:r>
            <w:r w:rsidRPr="00EE1DDA">
              <w:rPr>
                <w:rFonts w:ascii="Times New Roman" w:hAnsi="Times New Roman" w:cs="Times New Roman"/>
                <w:sz w:val="28"/>
                <w:szCs w:val="28"/>
              </w:rPr>
              <w:t>“Про повну загальну середню освіту”</w:t>
            </w:r>
          </w:p>
          <w:p w:rsidR="00EE1DDA" w:rsidRPr="00EE1DDA" w:rsidRDefault="00EE1DDA" w:rsidP="009D0DF2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EE1DDA">
              <w:rPr>
                <w:rFonts w:ascii="Times New Roman" w:hAnsi="Times New Roman" w:cs="Times New Roman"/>
                <w:sz w:val="28"/>
                <w:szCs w:val="28"/>
              </w:rPr>
              <w:t xml:space="preserve">(Відомості Верховної Ради (ВВР), 17.03. 2020, № 50 (7307), ст. 12-19) </w:t>
            </w:r>
          </w:p>
        </w:tc>
      </w:tr>
      <w:tr w:rsidR="00EE1DDA" w:rsidRPr="00EE1DDA" w:rsidTr="009D0DF2">
        <w:tc>
          <w:tcPr>
            <w:tcW w:w="7545" w:type="dxa"/>
            <w:tcBorders>
              <w:bottom w:val="nil"/>
            </w:tcBorders>
          </w:tcPr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575" w:type="dxa"/>
            <w:tcBorders>
              <w:bottom w:val="nil"/>
            </w:tcBorders>
          </w:tcPr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E1DDA" w:rsidRPr="00EE1DDA" w:rsidTr="009D0DF2">
        <w:tc>
          <w:tcPr>
            <w:tcW w:w="7545" w:type="dxa"/>
          </w:tcPr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1DDA">
              <w:rPr>
                <w:rFonts w:ascii="Times New Roman" w:hAnsi="Times New Roman" w:cs="Times New Roman"/>
                <w:sz w:val="28"/>
                <w:szCs w:val="28"/>
              </w:rPr>
              <w:t>Розділ Х ПРИКІНЦЕВІ ТА ПЕРЕХІДНІ ПОЛОЖЕННЯ</w:t>
            </w:r>
          </w:p>
        </w:tc>
        <w:tc>
          <w:tcPr>
            <w:tcW w:w="7575" w:type="dxa"/>
          </w:tcPr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1DDA">
              <w:rPr>
                <w:rFonts w:ascii="Times New Roman" w:hAnsi="Times New Roman" w:cs="Times New Roman"/>
                <w:sz w:val="28"/>
                <w:szCs w:val="28"/>
              </w:rPr>
              <w:t>Розділ Х ПРИКІНЦЕВІ ТА ПЕРЕХІДНІ ПОЛОЖЕННЯ</w:t>
            </w:r>
          </w:p>
        </w:tc>
      </w:tr>
      <w:tr w:rsidR="00EE1DDA" w:rsidRPr="00EE1DDA" w:rsidTr="009D0DF2">
        <w:tc>
          <w:tcPr>
            <w:tcW w:w="7545" w:type="dxa"/>
            <w:tcBorders>
              <w:bottom w:val="single" w:sz="4" w:space="0" w:color="000000"/>
            </w:tcBorders>
          </w:tcPr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1DDA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  <w:tc>
          <w:tcPr>
            <w:tcW w:w="7575" w:type="dxa"/>
            <w:tcBorders>
              <w:bottom w:val="single" w:sz="4" w:space="0" w:color="000000"/>
            </w:tcBorders>
          </w:tcPr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1DDA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EE1DDA" w:rsidRPr="00EE1DDA" w:rsidTr="009D0DF2">
        <w:tc>
          <w:tcPr>
            <w:tcW w:w="7545" w:type="dxa"/>
            <w:tcBorders>
              <w:bottom w:val="nil"/>
            </w:tcBorders>
          </w:tcPr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1DDA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3. Установити, що:</w:t>
            </w:r>
          </w:p>
        </w:tc>
        <w:tc>
          <w:tcPr>
            <w:tcW w:w="7575" w:type="dxa"/>
            <w:tcBorders>
              <w:bottom w:val="nil"/>
            </w:tcBorders>
          </w:tcPr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1DDA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3. Установити, що:</w:t>
            </w:r>
          </w:p>
        </w:tc>
      </w:tr>
      <w:tr w:rsidR="00EE1DDA" w:rsidRPr="00EE1DDA" w:rsidTr="009D0DF2">
        <w:tc>
          <w:tcPr>
            <w:tcW w:w="7545" w:type="dxa"/>
          </w:tcPr>
          <w:p w:rsidR="00EE1DDA" w:rsidRPr="00EE1DDA" w:rsidRDefault="00EE1DDA" w:rsidP="009D0DF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EE1DDA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…</w:t>
            </w:r>
          </w:p>
        </w:tc>
        <w:tc>
          <w:tcPr>
            <w:tcW w:w="7575" w:type="dxa"/>
          </w:tcPr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1DDA">
              <w:rPr>
                <w:rFonts w:ascii="Times New Roman" w:hAnsi="Times New Roman" w:cs="Times New Roman"/>
                <w:sz w:val="28"/>
                <w:szCs w:val="28"/>
              </w:rPr>
              <w:t>…</w:t>
            </w:r>
          </w:p>
        </w:tc>
      </w:tr>
      <w:tr w:rsidR="00EE1DDA" w:rsidRPr="00EE1DDA" w:rsidTr="009D0DF2">
        <w:tc>
          <w:tcPr>
            <w:tcW w:w="7545" w:type="dxa"/>
          </w:tcPr>
          <w:p w:rsidR="00EE1DDA" w:rsidRPr="00EE1DDA" w:rsidRDefault="00EE1DDA" w:rsidP="009D0DF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EE1DDA"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  <w:t>5. До 1 вересня 2020 року органам місцевого самоврядування та місцевим державним адміністраціям забезпечити створення районних, міських (районних у містах) центрів професійного розвитку педагогічних працівників шляхом реорганізації науково-методичних (методичних) установ (центрів, кабінетів), крім закладів післядипломної освіти, та організувати і забезпечити відбір працівників до зазначених центрів на конкурсних засадах.</w:t>
            </w:r>
          </w:p>
        </w:tc>
        <w:tc>
          <w:tcPr>
            <w:tcW w:w="7575" w:type="dxa"/>
          </w:tcPr>
          <w:p w:rsidR="00EE1DDA" w:rsidRPr="00EE1DDA" w:rsidRDefault="00EE1DDA" w:rsidP="009D0DF2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E1DDA">
              <w:rPr>
                <w:rFonts w:ascii="Times New Roman" w:hAnsi="Times New Roman" w:cs="Times New Roman"/>
                <w:b/>
                <w:sz w:val="28"/>
                <w:szCs w:val="28"/>
              </w:rPr>
              <w:t>Виключити</w:t>
            </w:r>
          </w:p>
        </w:tc>
      </w:tr>
      <w:tr w:rsidR="00EE1DDA" w:rsidRPr="00EE1DDA" w:rsidTr="009D0DF2">
        <w:trPr>
          <w:trHeight w:val="280"/>
        </w:trPr>
        <w:tc>
          <w:tcPr>
            <w:tcW w:w="15120" w:type="dxa"/>
            <w:gridSpan w:val="2"/>
          </w:tcPr>
          <w:p w:rsidR="00EE1DDA" w:rsidRPr="00EE1DDA" w:rsidRDefault="00EE1DDA" w:rsidP="009D0DF2">
            <w:pPr>
              <w:jc w:val="center"/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EE1DDA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Закон України “Про місцеве самоврядування в Україні”</w:t>
            </w:r>
          </w:p>
          <w:p w:rsidR="00EE1DDA" w:rsidRPr="00EE1DDA" w:rsidRDefault="00EE1DDA" w:rsidP="009D0DF2">
            <w:pPr>
              <w:jc w:val="center"/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EE1DDA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(Відомості Верховної Ради України (ВВР), 1997, № 24, ст.170)</w:t>
            </w:r>
          </w:p>
        </w:tc>
      </w:tr>
      <w:tr w:rsidR="00EE1DDA" w:rsidRPr="00EE1DDA" w:rsidTr="009D0DF2">
        <w:tc>
          <w:tcPr>
            <w:tcW w:w="7545" w:type="dxa"/>
          </w:tcPr>
          <w:p w:rsidR="00EE1DDA" w:rsidRPr="00EE1DDA" w:rsidRDefault="00EE1DDA" w:rsidP="009D0DF2">
            <w:pPr>
              <w:rPr>
                <w:rFonts w:ascii="Times New Roman" w:hAnsi="Times New Roman" w:cs="Times New Roman"/>
                <w:color w:val="000000"/>
                <w:sz w:val="28"/>
                <w:szCs w:val="28"/>
                <w:highlight w:val="white"/>
              </w:rPr>
            </w:pPr>
            <w:r w:rsidRPr="00EE1DDA">
              <w:rPr>
                <w:rFonts w:ascii="Times New Roman" w:hAnsi="Times New Roman" w:cs="Times New Roman"/>
                <w:b/>
                <w:sz w:val="28"/>
                <w:szCs w:val="28"/>
                <w:highlight w:val="white"/>
              </w:rPr>
              <w:t>Стаття 32.</w:t>
            </w:r>
            <w:r w:rsidRPr="00EE1DDA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 xml:space="preserve"> Повноваження у сфері освіти, охорони здоров'я, культури, фізкультури і спорту</w:t>
            </w:r>
          </w:p>
        </w:tc>
        <w:tc>
          <w:tcPr>
            <w:tcW w:w="7575" w:type="dxa"/>
          </w:tcPr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1DDA">
              <w:rPr>
                <w:rFonts w:ascii="Times New Roman" w:hAnsi="Times New Roman" w:cs="Times New Roman"/>
                <w:b/>
                <w:sz w:val="28"/>
                <w:szCs w:val="28"/>
              </w:rPr>
              <w:t>Стаття 32.</w:t>
            </w:r>
            <w:r w:rsidRPr="00EE1DDA">
              <w:rPr>
                <w:rFonts w:ascii="Times New Roman" w:hAnsi="Times New Roman" w:cs="Times New Roman"/>
                <w:sz w:val="28"/>
                <w:szCs w:val="28"/>
              </w:rPr>
              <w:t xml:space="preserve"> Повноваження у сфері освіти, охорони здоров'я, культури, фізкультури і спорту</w:t>
            </w:r>
          </w:p>
        </w:tc>
      </w:tr>
      <w:tr w:rsidR="00EE1DDA" w:rsidRPr="00EE1DDA" w:rsidTr="009D0DF2">
        <w:tc>
          <w:tcPr>
            <w:tcW w:w="7545" w:type="dxa"/>
          </w:tcPr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EE1DDA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До відання виконавчих органів сільських, селищних, міських рад належать:</w:t>
            </w:r>
          </w:p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</w:p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EE1DDA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а) власні (самоврядні) повноваження:</w:t>
            </w:r>
          </w:p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</w:p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EE1DDA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lastRenderedPageBreak/>
              <w:t>1) управління закладами освіти, охорони здоров'я, культури, фізкультури і спорту, оздоровчими закладами, які належать територіальним громадам або передані їм, молодіжними підлітковими закладами за місцем проживання, організація їх матеріально-технічного та фінансового забезпечення;</w:t>
            </w:r>
          </w:p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</w:p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  <w:r w:rsidRPr="00EE1DDA">
              <w:rPr>
                <w:rFonts w:ascii="Times New Roman" w:hAnsi="Times New Roman" w:cs="Times New Roman"/>
                <w:sz w:val="28"/>
                <w:szCs w:val="28"/>
                <w:highlight w:val="white"/>
              </w:rPr>
              <w:t>2) забезпечення здобуття повної загальної середньої, професійно-технічної освіти у державних і комунальних загальноосвітніх, професійно-технічних навчальних закладах, вищої освіти у комунальних вищих навчальних закладах, створення необхідних умов для виховання дітей, молоді, розвитку їх здібностей, трудового навчання, професійної орієнтації, продуктивної праці учнів, сприяння діяльності дошкільних та позашкільних навчально-виховних закладів, дитячих, молодіжних та науково-просвітницьких організацій;</w:t>
            </w:r>
          </w:p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</w:p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</w:p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</w:p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</w:p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  <w:highlight w:val="white"/>
              </w:rPr>
            </w:pPr>
          </w:p>
        </w:tc>
        <w:tc>
          <w:tcPr>
            <w:tcW w:w="7575" w:type="dxa"/>
          </w:tcPr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1D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До відання виконавчих органів сільських, селищних, міських рад належать:</w:t>
            </w:r>
          </w:p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1DDA">
              <w:rPr>
                <w:rFonts w:ascii="Times New Roman" w:hAnsi="Times New Roman" w:cs="Times New Roman"/>
                <w:sz w:val="28"/>
                <w:szCs w:val="28"/>
              </w:rPr>
              <w:t>а) власні (самоврядні) повноваження:</w:t>
            </w:r>
          </w:p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1DD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1) управління закладами освіти, охорони здоров'я, культури, фізкультури і спорту, оздоровчими закладами, які належать територіальним громадам або передані їм, молодіжними підлітковими закладами за місцем проживання, організація їх матеріально-технічного та фінансового забезпечення;</w:t>
            </w:r>
          </w:p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EE1DDA">
              <w:rPr>
                <w:rFonts w:ascii="Times New Roman" w:hAnsi="Times New Roman" w:cs="Times New Roman"/>
                <w:sz w:val="28"/>
                <w:szCs w:val="28"/>
              </w:rPr>
              <w:t xml:space="preserve">2) забезпечення здобуття повної загальної середньої, професійно-технічної освіти у державних і комунальних загальноосвітніх, професійно-технічних навчальних закладах, вищої освіти у комунальних вищих навчальних закладах, </w:t>
            </w:r>
            <w:r w:rsidRPr="00EE1DDA">
              <w:rPr>
                <w:rFonts w:ascii="Times New Roman" w:hAnsi="Times New Roman" w:cs="Times New Roman"/>
                <w:b/>
                <w:sz w:val="28"/>
                <w:szCs w:val="28"/>
              </w:rPr>
              <w:t>забезпечення професійного розвитку та методичною підтримкою педагогічних працівників,</w:t>
            </w:r>
            <w:r w:rsidRPr="00EE1DDA">
              <w:rPr>
                <w:rFonts w:ascii="Times New Roman" w:hAnsi="Times New Roman" w:cs="Times New Roman"/>
                <w:sz w:val="28"/>
                <w:szCs w:val="28"/>
              </w:rPr>
              <w:t xml:space="preserve"> створення необхідних умов для виховання дітей, молоді, розвитку їх здібностей, трудового навчання, професійної орієнтації, продуктивної праці учнів, сприяння діяльності дошкільних та позашкільних навчально-виховних закладів, дитячих, молодіжних та науково-просвітницьких організацій;</w:t>
            </w:r>
          </w:p>
          <w:p w:rsidR="00EE1DDA" w:rsidRPr="00EE1DDA" w:rsidRDefault="00EE1DDA" w:rsidP="009D0DF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BA4ED1" w:rsidRPr="00EE1DDA" w:rsidRDefault="00BA4ED1">
      <w:pPr>
        <w:rPr>
          <w:rFonts w:ascii="Times New Roman" w:eastAsia="Times New Roman" w:hAnsi="Times New Roman" w:cs="Times New Roman"/>
          <w:sz w:val="28"/>
          <w:szCs w:val="28"/>
        </w:rPr>
      </w:pPr>
    </w:p>
    <w:p w:rsidR="00EE1DDA" w:rsidRPr="00EE1DDA" w:rsidRDefault="00D91075" w:rsidP="005C1D64">
      <w:pPr>
        <w:spacing w:after="0" w:line="360" w:lineRule="auto"/>
        <w:ind w:firstLine="709"/>
        <w:rPr>
          <w:rFonts w:ascii="Times New Roman" w:hAnsi="Times New Roman" w:cs="Times New Roman"/>
          <w:sz w:val="28"/>
          <w:szCs w:val="28"/>
        </w:rPr>
      </w:pPr>
      <w:r w:rsidRPr="00EE1DDA">
        <w:rPr>
          <w:rFonts w:ascii="Times New Roman" w:eastAsia="Times New Roman" w:hAnsi="Times New Roman" w:cs="Times New Roman"/>
          <w:b/>
          <w:sz w:val="28"/>
          <w:szCs w:val="28"/>
        </w:rPr>
        <w:t>Народні депутати України</w:t>
      </w:r>
      <w:r w:rsidRPr="00EE1DDA">
        <w:rPr>
          <w:rFonts w:ascii="Times New Roman" w:eastAsia="Times New Roman" w:hAnsi="Times New Roman" w:cs="Times New Roman"/>
          <w:sz w:val="28"/>
          <w:szCs w:val="28"/>
        </w:rPr>
        <w:tab/>
      </w:r>
      <w:r w:rsidRPr="00EE1DDA">
        <w:rPr>
          <w:rFonts w:ascii="Times New Roman" w:eastAsia="Times New Roman" w:hAnsi="Times New Roman" w:cs="Times New Roman"/>
          <w:sz w:val="28"/>
          <w:szCs w:val="28"/>
        </w:rPr>
        <w:tab/>
      </w:r>
      <w:r w:rsidRPr="00EE1DDA">
        <w:rPr>
          <w:rFonts w:ascii="Times New Roman" w:eastAsia="Times New Roman" w:hAnsi="Times New Roman" w:cs="Times New Roman"/>
          <w:sz w:val="28"/>
          <w:szCs w:val="28"/>
        </w:rPr>
        <w:tab/>
      </w:r>
      <w:r w:rsidRPr="00EE1DDA">
        <w:rPr>
          <w:rFonts w:ascii="Times New Roman" w:eastAsia="Times New Roman" w:hAnsi="Times New Roman" w:cs="Times New Roman"/>
          <w:sz w:val="28"/>
          <w:szCs w:val="28"/>
        </w:rPr>
        <w:tab/>
      </w:r>
      <w:r w:rsidRPr="00EE1DDA">
        <w:rPr>
          <w:rFonts w:ascii="Times New Roman" w:eastAsia="Times New Roman" w:hAnsi="Times New Roman" w:cs="Times New Roman"/>
          <w:sz w:val="28"/>
          <w:szCs w:val="28"/>
        </w:rPr>
        <w:tab/>
      </w:r>
      <w:r w:rsidRPr="00EE1DDA">
        <w:rPr>
          <w:rFonts w:ascii="Times New Roman" w:eastAsia="Times New Roman" w:hAnsi="Times New Roman" w:cs="Times New Roman"/>
          <w:sz w:val="28"/>
          <w:szCs w:val="28"/>
        </w:rPr>
        <w:tab/>
      </w:r>
    </w:p>
    <w:sectPr w:rsidR="00EE1DDA" w:rsidRPr="00EE1DDA">
      <w:headerReference w:type="default" r:id="rId9"/>
      <w:pgSz w:w="16838" w:h="11906"/>
      <w:pgMar w:top="709" w:right="850" w:bottom="568" w:left="85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E11C4" w:rsidRDefault="002E11C4">
      <w:pPr>
        <w:spacing w:after="0" w:line="240" w:lineRule="auto"/>
      </w:pPr>
      <w:r>
        <w:separator/>
      </w:r>
    </w:p>
  </w:endnote>
  <w:endnote w:type="continuationSeparator" w:id="0">
    <w:p w:rsidR="002E11C4" w:rsidRDefault="002E11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E11C4" w:rsidRDefault="002E11C4">
      <w:pPr>
        <w:spacing w:after="0" w:line="240" w:lineRule="auto"/>
      </w:pPr>
      <w:r>
        <w:separator/>
      </w:r>
    </w:p>
  </w:footnote>
  <w:footnote w:type="continuationSeparator" w:id="0">
    <w:p w:rsidR="002E11C4" w:rsidRDefault="002E11C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4ED1" w:rsidRDefault="00D91075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D54F0C">
      <w:rPr>
        <w:noProof/>
        <w:color w:val="000000"/>
      </w:rPr>
      <w:t>2</w:t>
    </w:r>
    <w:r>
      <w:rPr>
        <w:color w:val="000000"/>
      </w:rPr>
      <w:fldChar w:fldCharType="end"/>
    </w:r>
  </w:p>
  <w:p w:rsidR="00BA4ED1" w:rsidRDefault="00BA4ED1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9"/>
      </w:tabs>
      <w:spacing w:after="0"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4ED1"/>
    <w:rsid w:val="002E11C4"/>
    <w:rsid w:val="005C1D64"/>
    <w:rsid w:val="005D2A4A"/>
    <w:rsid w:val="00BA4ED1"/>
    <w:rsid w:val="00D54F0C"/>
    <w:rsid w:val="00D91075"/>
    <w:rsid w:val="00EE1D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B92B33-8F63-476B-947E-81F6C8C7C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0C7A5FF-4658-401F-922A-B9FCE6C2456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887590C-13B4-493A-BD4D-B0F91DA805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99A19AA-86C5-4DB4-ACA3-E91AECF1264E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2036</Words>
  <Characters>1161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2020-06-03T07:21:00Z</dcterms:created>
  <dcterms:modified xsi:type="dcterms:W3CDTF">2020-06-03T07:21:00Z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