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168" w:rsidRPr="004D3B2B" w:rsidRDefault="002D3168" w:rsidP="004D3B2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4D3B2B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ПОРІВНЯЛЬНА ТАБЛИЦЯ</w:t>
      </w:r>
    </w:p>
    <w:p w:rsidR="002D3168" w:rsidRPr="004D3B2B" w:rsidRDefault="00703B6B" w:rsidP="004D3B2B">
      <w:pPr>
        <w:spacing w:after="0" w:line="240" w:lineRule="auto"/>
        <w:ind w:firstLine="18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до прое</w:t>
      </w:r>
      <w:r w:rsidR="002D3168" w:rsidRPr="004D3B2B">
        <w:rPr>
          <w:rFonts w:ascii="Times New Roman" w:hAnsi="Times New Roman"/>
          <w:b/>
          <w:sz w:val="28"/>
          <w:szCs w:val="28"/>
          <w:lang w:val="uk-UA" w:eastAsia="ru-RU"/>
        </w:rPr>
        <w:t xml:space="preserve">кту Закону України </w:t>
      </w:r>
      <w:r w:rsidR="004D3B2B" w:rsidRPr="004D3B2B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"Про </w:t>
      </w:r>
      <w:r w:rsidR="00C35E74" w:rsidRPr="00C35E7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народовладдя через всеукраїнський референдум</w:t>
      </w:r>
      <w:r w:rsidR="004D3B2B" w:rsidRPr="004D3B2B">
        <w:rPr>
          <w:rFonts w:ascii="Times New Roman" w:hAnsi="Times New Roman"/>
          <w:b/>
          <w:bCs/>
          <w:sz w:val="28"/>
          <w:szCs w:val="28"/>
          <w:lang w:val="uk-UA" w:eastAsia="ru-RU"/>
        </w:rPr>
        <w:t>"</w:t>
      </w:r>
    </w:p>
    <w:p w:rsidR="002D3168" w:rsidRPr="004D3B2B" w:rsidRDefault="002D3168" w:rsidP="004D3B2B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</w:p>
    <w:tbl>
      <w:tblPr>
        <w:tblW w:w="15165" w:type="dxa"/>
        <w:tblInd w:w="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371"/>
        <w:gridCol w:w="41"/>
        <w:gridCol w:w="7753"/>
      </w:tblGrid>
      <w:tr w:rsidR="002D3168" w:rsidRPr="004D3B2B" w:rsidTr="00E22503">
        <w:tc>
          <w:tcPr>
            <w:tcW w:w="7412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:rsidR="002D3168" w:rsidRPr="004D3B2B" w:rsidRDefault="004D3B2B" w:rsidP="004D3B2B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bookmarkStart w:id="0" w:name="30j0zll"/>
            <w:bookmarkStart w:id="1" w:name="gjdgxs"/>
            <w:bookmarkEnd w:id="0"/>
            <w:bookmarkEnd w:id="1"/>
            <w:r w:rsidRPr="004D3B2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</w:t>
            </w:r>
            <w:r w:rsidR="002D3168" w:rsidRPr="004D3B2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инн</w:t>
            </w:r>
            <w:r w:rsidRPr="004D3B2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 редакція</w:t>
            </w:r>
          </w:p>
        </w:tc>
        <w:tc>
          <w:tcPr>
            <w:tcW w:w="775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D3168" w:rsidRPr="004D3B2B" w:rsidRDefault="004D3B2B" w:rsidP="004D3B2B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uk-UA"/>
              </w:rPr>
              <w:t>Редакція з урахуванням пропонованих змін</w:t>
            </w:r>
          </w:p>
        </w:tc>
      </w:tr>
      <w:tr w:rsidR="002D3168" w:rsidRPr="004D3B2B" w:rsidTr="00E22503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1516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D3168" w:rsidRPr="004D3B2B" w:rsidRDefault="002D3168" w:rsidP="004D3B2B">
            <w:pPr>
              <w:spacing w:before="120" w:after="120" w:line="240" w:lineRule="auto"/>
              <w:ind w:firstLine="86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Кодекс адміністративного судочинства України</w:t>
            </w: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2D3168" w:rsidRPr="004D3B2B" w:rsidTr="00E22503">
        <w:tblPrEx>
          <w:tblCellMar>
            <w:top w:w="0" w:type="dxa"/>
            <w:left w:w="117" w:type="dxa"/>
            <w:bottom w:w="0" w:type="dxa"/>
            <w:right w:w="108" w:type="dxa"/>
          </w:tblCellMar>
        </w:tblPrEx>
        <w:tc>
          <w:tcPr>
            <w:tcW w:w="73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:rsidR="002D3168" w:rsidRPr="004D3B2B" w:rsidRDefault="002D3168" w:rsidP="004D3B2B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  <w:t xml:space="preserve">Стаття 19. 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Справи, на які поширюється юрисдикція адміністративних судів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color w:val="1F2021"/>
                <w:sz w:val="28"/>
                <w:szCs w:val="28"/>
                <w:lang w:val="uk-UA" w:eastAsia="ru-RU"/>
              </w:rPr>
              <w:t>…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57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2. Юрисдикція адміністративних судів не поширюється на справи: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57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1) що віднесені до юрисдикції Конституційного Суду України;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57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2) що мають вирішуватися в порядку кримінального судочинства;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57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3) про накладення адміністративних стягнень, крім випадків, визначених цим Кодексом;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57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4) щодо відносин, які відповідно до закону, статуту (положення) громадського об</w:t>
            </w:r>
            <w:r w:rsidR="00E22503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'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єднання, саморегулівної організації віднесені до його (її) внутрішньої діяльності або виключної компетенції, крім справ у спорах, визначених пунктами 9, 10 частини першої цієї статті.</w:t>
            </w:r>
          </w:p>
          <w:p w:rsidR="002D3168" w:rsidRPr="004D3B2B" w:rsidRDefault="004D3B2B" w:rsidP="004D3B2B">
            <w:pPr>
              <w:widowControl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MS Mincho" w:hAnsi="Times New Roman"/>
                <w:b/>
                <w:color w:val="1F2021"/>
                <w:sz w:val="28"/>
                <w:szCs w:val="28"/>
                <w:lang w:val="uk-UA" w:eastAsia="ru-RU"/>
              </w:rPr>
              <w:t xml:space="preserve">Пункт </w:t>
            </w:r>
            <w:r w:rsidR="002D3168" w:rsidRPr="004D3B2B">
              <w:rPr>
                <w:rFonts w:ascii="Times New Roman" w:eastAsia="MS Mincho" w:hAnsi="Times New Roman"/>
                <w:b/>
                <w:color w:val="1F2021"/>
                <w:sz w:val="28"/>
                <w:szCs w:val="28"/>
                <w:lang w:val="uk-UA" w:eastAsia="ru-RU"/>
              </w:rPr>
              <w:t>відсутн</w:t>
            </w:r>
            <w:r>
              <w:rPr>
                <w:rFonts w:ascii="Times New Roman" w:eastAsia="MS Mincho" w:hAnsi="Times New Roman"/>
                <w:b/>
                <w:color w:val="1F2021"/>
                <w:sz w:val="28"/>
                <w:szCs w:val="28"/>
                <w:lang w:val="uk-UA" w:eastAsia="ru-RU"/>
              </w:rPr>
              <w:t>ій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color w:val="1F2021"/>
                <w:sz w:val="28"/>
                <w:szCs w:val="28"/>
                <w:lang w:val="uk-UA" w:eastAsia="ru-RU"/>
              </w:rPr>
              <w:t>…</w:t>
            </w:r>
          </w:p>
        </w:tc>
        <w:tc>
          <w:tcPr>
            <w:tcW w:w="779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D3168" w:rsidRPr="004D3B2B" w:rsidRDefault="002D3168" w:rsidP="004D3B2B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  <w:t xml:space="preserve">Стаття 19. 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Справи, на які поширюється юрисдикція адміністративних судів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color w:val="1F2021"/>
                <w:sz w:val="28"/>
                <w:szCs w:val="28"/>
                <w:lang w:val="uk-UA" w:eastAsia="ru-RU"/>
              </w:rPr>
              <w:t>…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4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2. Юрисдикція адміністративних судів не поширюється на справи: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4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1) що віднесені до юрисдикції Конституційного Суду України;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4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2) що мають вирішуватися в порядку кримінального судочинства;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4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3) про накладення адміністративних стягнень, крім випадків, визначених цим Кодексом;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4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4) щодо відносин, які відповідно до закону, статуту (положення) громадського об</w:t>
            </w:r>
            <w:r w:rsidR="00E22503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'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єднання, саморегулівної організації віднесені до його (її) внутрішньої діяльності або виключної компетенції, крім справ у спорах, визначених пунктами 9, 10 частини першої цієї статті;</w:t>
            </w:r>
          </w:p>
          <w:p w:rsidR="002D3168" w:rsidRPr="004D3B2B" w:rsidRDefault="002D3168" w:rsidP="004D3B2B">
            <w:pPr>
              <w:spacing w:after="0" w:line="240" w:lineRule="auto"/>
              <w:ind w:firstLine="43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5) щодо питання предмета всеукраїнського референдуму.</w:t>
            </w:r>
          </w:p>
          <w:p w:rsidR="002D3168" w:rsidRPr="004D3B2B" w:rsidRDefault="002D3168" w:rsidP="004D3B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sz w:val="28"/>
                <w:szCs w:val="28"/>
                <w:lang w:val="uk-UA" w:eastAsia="ru-RU"/>
              </w:rPr>
              <w:t>...</w:t>
            </w:r>
          </w:p>
        </w:tc>
      </w:tr>
      <w:tr w:rsidR="002D3168" w:rsidRPr="004D3B2B" w:rsidTr="00E22503">
        <w:tblPrEx>
          <w:tblCellMar>
            <w:top w:w="0" w:type="dxa"/>
            <w:left w:w="117" w:type="dxa"/>
            <w:bottom w:w="0" w:type="dxa"/>
            <w:right w:w="108" w:type="dxa"/>
          </w:tblCellMar>
        </w:tblPrEx>
        <w:tc>
          <w:tcPr>
            <w:tcW w:w="73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:rsidR="002D3168" w:rsidRPr="004D3B2B" w:rsidRDefault="002D3168" w:rsidP="004D3B2B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  <w:t xml:space="preserve">Стаття 273. 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Особливості провадження у справах щодо оскарження рішень, дій або бездіяльності виборчих комісій, комісій з референдуму, членів цих комісій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jc w:val="both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57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lastRenderedPageBreak/>
              <w:t>1. Право оскаржувати рішення, дії чи бездіяльність виборчих комісій, комісій з референдуму, членів цих комісій мають суб</w:t>
            </w:r>
            <w:r w:rsidR="00E22503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'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єкти відповідного виборчого процесу (крім виборчої комісії), а також ініціативна група референдуму, інші суб</w:t>
            </w:r>
            <w:r w:rsidR="00E22503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'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єкти ініціювання референдуму.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57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  <w:t>…</w:t>
            </w:r>
          </w:p>
        </w:tc>
        <w:tc>
          <w:tcPr>
            <w:tcW w:w="779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D3168" w:rsidRPr="004D3B2B" w:rsidRDefault="002D3168" w:rsidP="004D3B2B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hAnsi="Times New Roman"/>
                <w:spacing w:val="-4"/>
                <w:kern w:val="28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b/>
                <w:bCs/>
                <w:color w:val="1F2021"/>
                <w:spacing w:val="-4"/>
                <w:kern w:val="28"/>
                <w:sz w:val="28"/>
                <w:szCs w:val="28"/>
                <w:lang w:val="uk-UA" w:eastAsia="ru-RU"/>
              </w:rPr>
              <w:lastRenderedPageBreak/>
              <w:t xml:space="preserve">Стаття 273. </w:t>
            </w:r>
            <w:r w:rsidRPr="004D3B2B">
              <w:rPr>
                <w:rFonts w:ascii="Times New Roman" w:eastAsia="MS Mincho" w:hAnsi="Times New Roman"/>
                <w:color w:val="1F2021"/>
                <w:spacing w:val="-4"/>
                <w:kern w:val="28"/>
                <w:sz w:val="28"/>
                <w:szCs w:val="28"/>
                <w:lang w:val="uk-UA" w:eastAsia="ru-RU"/>
              </w:rPr>
              <w:t>Особливості провадження у справах щодо оскарження рішень, дій або бездіяльності виборчих комісій, комісій з референдуму, членів цих комісій</w:t>
            </w:r>
            <w:r w:rsidR="002824A2" w:rsidRPr="004D3B2B">
              <w:rPr>
                <w:rFonts w:ascii="Times New Roman" w:eastAsia="MS Mincho" w:hAnsi="Times New Roman"/>
                <w:color w:val="1F2021"/>
                <w:spacing w:val="-4"/>
                <w:kern w:val="28"/>
                <w:sz w:val="28"/>
                <w:szCs w:val="28"/>
                <w:lang w:val="uk-UA" w:eastAsia="ru-RU"/>
              </w:rPr>
              <w:t xml:space="preserve">, </w:t>
            </w:r>
            <w:r w:rsidR="002824A2" w:rsidRPr="004D3B2B">
              <w:rPr>
                <w:rFonts w:ascii="Times New Roman" w:eastAsia="MS Mincho" w:hAnsi="Times New Roman"/>
                <w:b/>
                <w:color w:val="1F2021"/>
                <w:spacing w:val="-4"/>
                <w:kern w:val="28"/>
                <w:sz w:val="28"/>
                <w:szCs w:val="28"/>
                <w:lang w:val="uk-UA" w:eastAsia="ru-RU"/>
              </w:rPr>
              <w:t>регіональних та територіальних представництв Центральної виборчої комісії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4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lastRenderedPageBreak/>
              <w:t xml:space="preserve">1. Право оскаржувати рішення, дії чи бездіяльність виборчих комісій, комісій з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всеукраїнського</w:t>
            </w: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 референдуму, членів цих комісій,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регіональних та територіальних представництв Центральної виборчої комісії</w:t>
            </w: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 мають суб'єкти відповідного виборчого процесу (крім виборчої комісії),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суб</w:t>
            </w:r>
            <w:r w:rsidR="00E22503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'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єкти процесу всеукраїнського референдуму (крім комісії з всеукраїнського референдуму), учасники процедур ініціювання всеукраїнського референдуму за народною ініціативою (ініціативна група, політичні па</w:t>
            </w:r>
            <w:r w:rsid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 xml:space="preserve">ртії та громадські організації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як учасники агітації щодо ініціативи проведення всеукраїнського референдуму.</w:t>
            </w:r>
          </w:p>
          <w:p w:rsidR="002D3168" w:rsidRPr="004D3B2B" w:rsidRDefault="002D3168" w:rsidP="00E22503">
            <w:pPr>
              <w:widowControl w:val="0"/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sz w:val="28"/>
                <w:szCs w:val="28"/>
                <w:lang w:val="uk-UA" w:eastAsia="ru-RU"/>
              </w:rPr>
              <w:t>…</w:t>
            </w:r>
          </w:p>
        </w:tc>
      </w:tr>
      <w:tr w:rsidR="002D3168" w:rsidRPr="00C35E74" w:rsidTr="00E22503">
        <w:tblPrEx>
          <w:tblCellMar>
            <w:top w:w="0" w:type="dxa"/>
            <w:left w:w="117" w:type="dxa"/>
            <w:bottom w:w="0" w:type="dxa"/>
            <w:right w:w="108" w:type="dxa"/>
          </w:tblCellMar>
        </w:tblPrEx>
        <w:tc>
          <w:tcPr>
            <w:tcW w:w="73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:rsidR="002D3168" w:rsidRPr="004D3B2B" w:rsidRDefault="002D3168" w:rsidP="004D3B2B">
            <w:pPr>
              <w:widowControl w:val="0"/>
              <w:spacing w:after="0" w:line="240" w:lineRule="auto"/>
              <w:ind w:firstLine="57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  <w:lastRenderedPageBreak/>
              <w:t xml:space="preserve">Стаття 276. 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Особливості провадження у справах щодо оскарження дій або бездіяльності кандидатів, їхніх довірених осіб, партії (блоку), місцевої організації партії, їхніх посадових осіб та уповноважених осіб, ініціативних груп референдуму, інших суб</w:t>
            </w:r>
            <w:r w:rsidR="00E22503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'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єктів ініціювання референдуму, офіційних спостерігачів від суб</w:t>
            </w:r>
            <w:r w:rsidR="00E22503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'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єктів виборчого процесу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jc w:val="both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2D3168" w:rsidRPr="004D3B2B" w:rsidRDefault="002D3168" w:rsidP="004D3B2B">
            <w:pPr>
              <w:widowControl w:val="0"/>
              <w:spacing w:after="0" w:line="240" w:lineRule="auto"/>
              <w:jc w:val="both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57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1. Право оскаржувати дії чи бездіяльність кандидатів, їхніх довірених осіб, партії (блоку), місцевої організації партії, їхніх посадових осіб та уповноважених осіб, ініціативних груп референдуму, інших суб</w:t>
            </w:r>
            <w:r w:rsidR="00E22503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'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єктів ініціювання референдуму, офіційних спостерігачів від суб</w:t>
            </w:r>
            <w:r w:rsidR="00E22503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'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єктів виборчого процесу, що порушують законодавство про вибори чи референдум, мають кандидат, партія (блок), місцева організація партії, які є суб</w:t>
            </w:r>
            <w:r w:rsidR="00E22503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'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єктами відповідного виборчого процесу, ініціативна група референдуму, інші суб</w:t>
            </w:r>
            <w:r w:rsidR="00E22503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'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єкти ініціювання референдуму.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color w:val="1F2021"/>
                <w:sz w:val="28"/>
                <w:szCs w:val="28"/>
                <w:lang w:val="uk-UA" w:eastAsia="ru-RU"/>
              </w:rPr>
              <w:t>…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4F5029" w:rsidRDefault="004F5029" w:rsidP="004D3B2B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2D3168" w:rsidRPr="004F5029" w:rsidRDefault="002D3168" w:rsidP="004D3B2B">
            <w:pPr>
              <w:widowControl w:val="0"/>
              <w:spacing w:after="0" w:line="240" w:lineRule="auto"/>
              <w:ind w:firstLine="601"/>
              <w:jc w:val="both"/>
              <w:rPr>
                <w:rFonts w:ascii="Times New Roman" w:hAnsi="Times New Roman"/>
                <w:spacing w:val="-2"/>
                <w:kern w:val="28"/>
                <w:sz w:val="28"/>
                <w:szCs w:val="28"/>
                <w:lang w:val="uk-UA"/>
              </w:rPr>
            </w:pPr>
            <w:r w:rsidRPr="004F5029">
              <w:rPr>
                <w:rFonts w:ascii="Times New Roman" w:eastAsia="MS Mincho" w:hAnsi="Times New Roman"/>
                <w:color w:val="1F2021"/>
                <w:spacing w:val="-2"/>
                <w:kern w:val="28"/>
                <w:sz w:val="28"/>
                <w:szCs w:val="28"/>
                <w:lang w:val="uk-UA" w:eastAsia="ru-RU"/>
              </w:rPr>
              <w:t>3. Позовна заява щодо оскарження дій та бездіяльності ініціативних груп всеукраїнського референдуму, інших суб</w:t>
            </w:r>
            <w:r w:rsidR="00E22503" w:rsidRPr="004F5029">
              <w:rPr>
                <w:rFonts w:ascii="Times New Roman" w:eastAsia="MS Mincho" w:hAnsi="Times New Roman"/>
                <w:color w:val="1F2021"/>
                <w:spacing w:val="-2"/>
                <w:kern w:val="28"/>
                <w:sz w:val="28"/>
                <w:szCs w:val="28"/>
                <w:lang w:val="uk-UA" w:eastAsia="ru-RU"/>
              </w:rPr>
              <w:t>'</w:t>
            </w:r>
            <w:r w:rsidRPr="004F5029">
              <w:rPr>
                <w:rFonts w:ascii="Times New Roman" w:eastAsia="MS Mincho" w:hAnsi="Times New Roman"/>
                <w:color w:val="1F2021"/>
                <w:spacing w:val="-2"/>
                <w:kern w:val="28"/>
                <w:sz w:val="28"/>
                <w:szCs w:val="28"/>
                <w:lang w:val="uk-UA" w:eastAsia="ru-RU"/>
              </w:rPr>
              <w:t>єктів ініціювання всеукраїнського референдуму, що порушують законодавство про вибори чи референдум, подається до окружного адміністративного суду, територіальна юрисдикція якого поширюється на місто Київ.</w:t>
            </w:r>
          </w:p>
        </w:tc>
        <w:tc>
          <w:tcPr>
            <w:tcW w:w="779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D3168" w:rsidRPr="004D3B2B" w:rsidRDefault="004D3B2B" w:rsidP="004D3B2B">
            <w:pPr>
              <w:spacing w:after="0" w:line="240" w:lineRule="auto"/>
              <w:ind w:firstLine="4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 xml:space="preserve">Стаття </w:t>
            </w:r>
            <w:r w:rsidR="002D3168"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276.</w:t>
            </w:r>
            <w:r w:rsidR="002D3168"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 Особливості провадження у справах щодо оскарження рішень, дій або бездіяльності кандидатів, їхніх довірених осіб, </w:t>
            </w:r>
            <w:r w:rsidR="002D3168"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політичної</w:t>
            </w:r>
            <w:r w:rsidR="002D3168"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 партії (блоку), місцевої організації </w:t>
            </w:r>
            <w:r w:rsidR="002D3168"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політичної</w:t>
            </w:r>
            <w:r w:rsidR="002D3168"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 партії, </w:t>
            </w:r>
            <w:r w:rsidR="002D3168"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їх</w:t>
            </w:r>
            <w:r w:rsidR="002D3168"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 посадових осіб та уповноважених осіб, офіційних спостерігачів від суб'єктів виборчого процесу, </w:t>
            </w:r>
            <w:r w:rsidR="002D3168"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ініціативної групи референдуму, члена ініціативної групи,</w:t>
            </w:r>
            <w:r w:rsidR="002D3168" w:rsidRPr="004D3B2B">
              <w:rPr>
                <w:rFonts w:ascii="Times New Roman" w:eastAsia="Symbol" w:hAnsi="Times New Roman"/>
                <w:b/>
                <w:sz w:val="28"/>
                <w:szCs w:val="28"/>
                <w:lang w:val="uk-UA" w:eastAsia="uk-UA"/>
              </w:rPr>
              <w:t xml:space="preserve"> політичної партії</w:t>
            </w:r>
            <w:r>
              <w:rPr>
                <w:rFonts w:ascii="Times New Roman" w:eastAsia="Symbol" w:hAnsi="Times New Roman"/>
                <w:b/>
                <w:sz w:val="28"/>
                <w:szCs w:val="28"/>
                <w:lang w:val="uk-UA" w:eastAsia="uk-UA"/>
              </w:rPr>
              <w:t>, громадської організації – суб'</w:t>
            </w:r>
            <w:r w:rsidR="002D3168" w:rsidRPr="004D3B2B">
              <w:rPr>
                <w:rFonts w:ascii="Times New Roman" w:eastAsia="Symbol" w:hAnsi="Times New Roman"/>
                <w:b/>
                <w:sz w:val="28"/>
                <w:szCs w:val="28"/>
                <w:lang w:val="uk-UA" w:eastAsia="uk-UA"/>
              </w:rPr>
              <w:t xml:space="preserve">єктів процесу референдуму, їх уповноважених осіб, </w:t>
            </w:r>
            <w:r w:rsidR="002D3168"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 xml:space="preserve">офіційного </w:t>
            </w:r>
            <w:r>
              <w:rPr>
                <w:rFonts w:ascii="Times New Roman" w:eastAsia="Symbol" w:hAnsi="Times New Roman"/>
                <w:b/>
                <w:sz w:val="28"/>
                <w:szCs w:val="28"/>
                <w:lang w:val="uk-UA" w:eastAsia="uk-UA"/>
              </w:rPr>
              <w:t>спостерігача – суб'</w:t>
            </w:r>
            <w:r w:rsidR="002D3168" w:rsidRPr="004D3B2B">
              <w:rPr>
                <w:rFonts w:ascii="Times New Roman" w:eastAsia="Symbol" w:hAnsi="Times New Roman"/>
                <w:b/>
                <w:sz w:val="28"/>
                <w:szCs w:val="28"/>
                <w:lang w:val="uk-UA" w:eastAsia="uk-UA"/>
              </w:rPr>
              <w:t>єкта процесу референдуму</w:t>
            </w:r>
          </w:p>
          <w:p w:rsidR="002D3168" w:rsidRPr="004D3B2B" w:rsidRDefault="002D3168" w:rsidP="004D3B2B">
            <w:pPr>
              <w:spacing w:before="120" w:after="0" w:line="240" w:lineRule="auto"/>
              <w:ind w:firstLine="4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1. Право оскаржувати рішення, дії чи бездіяльність кандидатів, їхніх довірених осіб,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політичної</w:t>
            </w: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 партії (блоку), місцевої організації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 xml:space="preserve">політичної </w:t>
            </w: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партії,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їх</w:t>
            </w: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 посадових осіб та уповноважених осіб, офіційних спостерігачів від суб'єктів виборчого процесу,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 xml:space="preserve">ініціативної групи референдуму, члена ініціативної групи,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 w:eastAsia="uk-UA"/>
              </w:rPr>
              <w:t>політичної партії, громадської організації – суб</w:t>
            </w:r>
            <w:r w:rsidR="00E22503">
              <w:rPr>
                <w:rFonts w:ascii="Times New Roman" w:eastAsia="Symbol" w:hAnsi="Times New Roman"/>
                <w:b/>
                <w:sz w:val="28"/>
                <w:szCs w:val="28"/>
                <w:lang w:val="uk-UA" w:eastAsia="uk-UA"/>
              </w:rPr>
              <w:t>'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 w:eastAsia="uk-UA"/>
              </w:rPr>
              <w:t>єктів процесу референдуму, їх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 xml:space="preserve"> уповноважених осіб, офіційного спостерігача – суб</w:t>
            </w:r>
            <w:r w:rsidR="00E22503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'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 xml:space="preserve">єкта процесу референдуму, що порушують законодавство про вибори чи референдум, </w:t>
            </w: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мають кандидат,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політична</w:t>
            </w: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 партія (блок), місцева організація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політичної</w:t>
            </w: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 xml:space="preserve"> партії, які є суб'єктами відповідного виборчого процесу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 xml:space="preserve">, </w:t>
            </w: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>ініціативна група референдуму,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 xml:space="preserve"> політична партія, громадська організація – суб</w:t>
            </w:r>
            <w:r w:rsidR="00E22503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'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єкти процесу референдуму</w:t>
            </w:r>
            <w:r w:rsidRPr="004D3B2B">
              <w:rPr>
                <w:rFonts w:ascii="Times New Roman" w:eastAsia="Symbol" w:hAnsi="Times New Roman"/>
                <w:sz w:val="28"/>
                <w:szCs w:val="28"/>
                <w:lang w:val="uk-UA"/>
              </w:rPr>
              <w:t>.</w:t>
            </w:r>
          </w:p>
          <w:p w:rsidR="002D3168" w:rsidRPr="004D3B2B" w:rsidRDefault="002D3168" w:rsidP="004D3B2B">
            <w:pPr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2D3168" w:rsidRPr="004D3B2B" w:rsidRDefault="002D3168" w:rsidP="004D3B2B">
            <w:pPr>
              <w:spacing w:after="0" w:line="240" w:lineRule="auto"/>
              <w:ind w:firstLine="4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 xml:space="preserve">3. Позовна заява щодо оскарження дій та бездіяльності ініціативних груп всеукраїнського референдуму, </w:t>
            </w:r>
            <w:r w:rsidRPr="004D3B2B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члена ініціативної групи всеукраїнського референдуму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, що порушують законодавство про вибори чи референдум, подається до окружного адміністративного суду, територіальна юрисдикція якого поширюється на місто Київ.</w:t>
            </w:r>
          </w:p>
          <w:p w:rsidR="002D3168" w:rsidRPr="004D3B2B" w:rsidRDefault="002D3168" w:rsidP="004D3B2B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eastAsia="MS Mincho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</w:pPr>
          </w:p>
        </w:tc>
      </w:tr>
      <w:tr w:rsidR="002D3168" w:rsidRPr="004D3B2B" w:rsidTr="00E22503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1516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D3168" w:rsidRPr="004D3B2B" w:rsidRDefault="00857439" w:rsidP="00857439">
            <w:pPr>
              <w:spacing w:before="120" w:after="120" w:line="240" w:lineRule="auto"/>
              <w:ind w:firstLine="527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Symbol" w:hAnsi="Times New Roman"/>
                <w:b/>
                <w:bCs/>
                <w:sz w:val="28"/>
                <w:szCs w:val="28"/>
                <w:lang w:val="uk-UA"/>
              </w:rPr>
              <w:t>Закон України "Про політичні партії в Україні"</w:t>
            </w:r>
          </w:p>
        </w:tc>
      </w:tr>
      <w:tr w:rsidR="002D3168" w:rsidRPr="004D3B2B" w:rsidTr="00E22503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7412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:rsidR="002D3168" w:rsidRPr="004D3B2B" w:rsidRDefault="002D3168" w:rsidP="00857439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D3B2B">
              <w:rPr>
                <w:rFonts w:eastAsia="MS Mincho"/>
                <w:b/>
                <w:bCs/>
                <w:color w:val="1F2021"/>
                <w:sz w:val="28"/>
                <w:szCs w:val="28"/>
                <w:lang w:val="uk-UA"/>
              </w:rPr>
              <w:t xml:space="preserve">Стаття 14. </w:t>
            </w:r>
            <w:r w:rsidRPr="004D3B2B">
              <w:rPr>
                <w:rFonts w:eastAsia="MS Mincho"/>
                <w:color w:val="1F2021"/>
                <w:sz w:val="28"/>
                <w:szCs w:val="28"/>
                <w:lang w:val="uk-UA"/>
              </w:rPr>
              <w:t>Кошти та інше майно політичних партій</w:t>
            </w:r>
            <w:bookmarkStart w:id="2" w:name="n11638"/>
            <w:bookmarkEnd w:id="2"/>
          </w:p>
          <w:p w:rsidR="002D3168" w:rsidRPr="004D3B2B" w:rsidRDefault="002D3168" w:rsidP="00857439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D3B2B">
              <w:rPr>
                <w:color w:val="1F2021"/>
                <w:sz w:val="28"/>
                <w:szCs w:val="28"/>
                <w:lang w:val="uk-UA"/>
              </w:rPr>
              <w:t>…</w:t>
            </w:r>
          </w:p>
          <w:p w:rsidR="002D3168" w:rsidRPr="00857439" w:rsidRDefault="002D3168" w:rsidP="00857439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kern w:val="28"/>
                <w:sz w:val="28"/>
                <w:szCs w:val="28"/>
                <w:lang w:val="uk-UA"/>
              </w:rPr>
            </w:pPr>
            <w:r w:rsidRPr="00857439">
              <w:rPr>
                <w:rFonts w:ascii="Times New Roman" w:eastAsia="MS Mincho" w:hAnsi="Times New Roman"/>
                <w:color w:val="1F2021"/>
                <w:kern w:val="28"/>
                <w:sz w:val="28"/>
                <w:szCs w:val="28"/>
                <w:lang w:val="uk-UA" w:eastAsia="ru-RU"/>
              </w:rPr>
              <w:t>Не є грошовими внесками на підтримку політичної партії:</w:t>
            </w:r>
          </w:p>
          <w:p w:rsidR="002D3168" w:rsidRPr="004D3B2B" w:rsidRDefault="002D3168" w:rsidP="00857439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color w:val="1F2021"/>
                <w:sz w:val="28"/>
                <w:szCs w:val="28"/>
                <w:lang w:val="uk-UA" w:eastAsia="ru-RU"/>
              </w:rPr>
              <w:t>…</w:t>
            </w:r>
          </w:p>
          <w:p w:rsidR="002D3168" w:rsidRPr="004D3B2B" w:rsidRDefault="002D3168" w:rsidP="00857439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D3B2B">
              <w:rPr>
                <w:rFonts w:eastAsia="MS Mincho"/>
                <w:color w:val="1F2021"/>
                <w:sz w:val="28"/>
                <w:szCs w:val="28"/>
                <w:lang w:val="uk-UA"/>
              </w:rPr>
              <w:t>4) кошти, які повернулися на рахунки політичної партії чи її місцевих організацій, що в установленому порядку набули статусу юридичної особи, з відповідних рахунків виборчих фондів.</w:t>
            </w:r>
          </w:p>
          <w:p w:rsidR="002D3168" w:rsidRPr="004D3B2B" w:rsidRDefault="002D3168" w:rsidP="004D3B2B">
            <w:pPr>
              <w:pStyle w:val="rvps2"/>
              <w:shd w:val="clear" w:color="auto" w:fill="FFFFFF"/>
              <w:spacing w:before="0" w:after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D3B2B">
              <w:rPr>
                <w:color w:val="1F2021"/>
                <w:sz w:val="28"/>
                <w:szCs w:val="28"/>
                <w:lang w:val="uk-UA"/>
              </w:rPr>
              <w:t>…</w:t>
            </w:r>
          </w:p>
        </w:tc>
        <w:tc>
          <w:tcPr>
            <w:tcW w:w="775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D3168" w:rsidRPr="004D3B2B" w:rsidRDefault="002D3168" w:rsidP="00857439">
            <w:pPr>
              <w:pStyle w:val="rvps2"/>
              <w:shd w:val="clear" w:color="auto" w:fill="FFFFFF"/>
              <w:spacing w:before="0" w:after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D3B2B">
              <w:rPr>
                <w:rFonts w:eastAsia="MS Mincho"/>
                <w:b/>
                <w:bCs/>
                <w:color w:val="1F2021"/>
                <w:sz w:val="28"/>
                <w:szCs w:val="28"/>
                <w:lang w:val="uk-UA"/>
              </w:rPr>
              <w:t xml:space="preserve">Стаття 14. </w:t>
            </w:r>
            <w:r w:rsidRPr="004D3B2B">
              <w:rPr>
                <w:rFonts w:eastAsia="MS Mincho"/>
                <w:color w:val="1F2021"/>
                <w:sz w:val="28"/>
                <w:szCs w:val="28"/>
                <w:lang w:val="uk-UA"/>
              </w:rPr>
              <w:t>Кошти та інше майно політичних партій</w:t>
            </w:r>
          </w:p>
          <w:p w:rsidR="002D3168" w:rsidRPr="004D3B2B" w:rsidRDefault="002D3168" w:rsidP="00857439">
            <w:pPr>
              <w:pStyle w:val="rvps2"/>
              <w:shd w:val="clear" w:color="auto" w:fill="FFFFFF"/>
              <w:spacing w:before="0" w:after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D3B2B">
              <w:rPr>
                <w:color w:val="1F2021"/>
                <w:sz w:val="28"/>
                <w:szCs w:val="28"/>
                <w:lang w:val="uk-UA"/>
              </w:rPr>
              <w:t>…</w:t>
            </w:r>
          </w:p>
          <w:p w:rsidR="002D3168" w:rsidRPr="004D3B2B" w:rsidRDefault="002D3168" w:rsidP="00857439">
            <w:pPr>
              <w:widowControl w:val="0"/>
              <w:spacing w:after="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 xml:space="preserve">Не є грошовими внесками на підтримку політичної </w:t>
            </w:r>
            <w:r w:rsidR="00857439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 xml:space="preserve">      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партії:</w:t>
            </w:r>
          </w:p>
          <w:p w:rsidR="002D3168" w:rsidRPr="004D3B2B" w:rsidRDefault="002D3168" w:rsidP="00857439">
            <w:pPr>
              <w:widowControl w:val="0"/>
              <w:spacing w:after="0" w:line="240" w:lineRule="auto"/>
              <w:ind w:firstLine="45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color w:val="1F2021"/>
                <w:sz w:val="28"/>
                <w:szCs w:val="28"/>
                <w:lang w:val="uk-UA" w:eastAsia="ru-RU"/>
              </w:rPr>
              <w:t>…</w:t>
            </w:r>
          </w:p>
          <w:p w:rsidR="002D3168" w:rsidRPr="004D3B2B" w:rsidRDefault="002D3168" w:rsidP="00857439">
            <w:pPr>
              <w:pStyle w:val="rvps2"/>
              <w:shd w:val="clear" w:color="auto" w:fill="FFFFFF"/>
              <w:spacing w:before="0" w:after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D3B2B">
              <w:rPr>
                <w:rFonts w:eastAsia="MS Mincho"/>
                <w:color w:val="1F2021"/>
                <w:sz w:val="28"/>
                <w:szCs w:val="28"/>
                <w:lang w:val="uk-UA"/>
              </w:rPr>
              <w:t xml:space="preserve">4) кошти, які повернулися на рахунки політичної партії чи її місцевих організацій, що в установленому порядку набули статусу юридичної особи, з відповідних рахунків виборчих фондів, </w:t>
            </w:r>
            <w:r w:rsidRPr="004D3B2B">
              <w:rPr>
                <w:rFonts w:eastAsia="Symbol"/>
                <w:b/>
                <w:bCs/>
                <w:sz w:val="28"/>
                <w:szCs w:val="28"/>
                <w:lang w:val="uk-UA"/>
              </w:rPr>
              <w:t>фонду агітації щодо ініціативи проведення всеукраїнського референдуму, фонду всеукраїнського референдуму.</w:t>
            </w:r>
          </w:p>
          <w:p w:rsidR="002D3168" w:rsidRDefault="002D3168" w:rsidP="004D3B2B">
            <w:pPr>
              <w:spacing w:before="120" w:after="0" w:line="240" w:lineRule="auto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…</w:t>
            </w:r>
          </w:p>
          <w:p w:rsidR="00E22503" w:rsidRPr="004D3B2B" w:rsidRDefault="00E22503" w:rsidP="00E225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D3168" w:rsidRPr="004D3B2B" w:rsidTr="00E22503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1516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D3168" w:rsidRPr="004D3B2B" w:rsidRDefault="002D3168" w:rsidP="00857439">
            <w:pPr>
              <w:pStyle w:val="rvps2"/>
              <w:shd w:val="clear" w:color="auto" w:fill="FFFFFF"/>
              <w:spacing w:before="120" w:after="120"/>
              <w:ind w:firstLine="448"/>
              <w:jc w:val="center"/>
              <w:rPr>
                <w:sz w:val="28"/>
                <w:szCs w:val="28"/>
                <w:lang w:val="uk-UA"/>
              </w:rPr>
            </w:pPr>
            <w:r w:rsidRPr="004D3B2B">
              <w:rPr>
                <w:rFonts w:eastAsia="Symbol"/>
                <w:b/>
                <w:bCs/>
                <w:sz w:val="28"/>
                <w:szCs w:val="28"/>
                <w:lang w:val="uk-UA"/>
              </w:rPr>
              <w:t>Закон України "Про Центральну виборчу комісію"</w:t>
            </w:r>
          </w:p>
        </w:tc>
      </w:tr>
      <w:tr w:rsidR="002D3168" w:rsidRPr="004D3B2B" w:rsidTr="00E22503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7412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:rsidR="002D3168" w:rsidRPr="004D3B2B" w:rsidRDefault="002D3168" w:rsidP="00857439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  <w:t>Стаття 20.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 xml:space="preserve"> Повноваження Комісії щодо організації підготовки і проведення всеукраїнського референдуму</w:t>
            </w:r>
          </w:p>
          <w:p w:rsidR="00857439" w:rsidRDefault="00857439" w:rsidP="00857439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2D3168" w:rsidRPr="004D3B2B" w:rsidRDefault="002D3168" w:rsidP="00857439">
            <w:pPr>
              <w:widowControl w:val="0"/>
              <w:spacing w:after="0" w:line="240" w:lineRule="auto"/>
              <w:ind w:firstLine="60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Комісія:</w:t>
            </w:r>
          </w:p>
          <w:p w:rsidR="002D3168" w:rsidRPr="004D3B2B" w:rsidRDefault="002D3168" w:rsidP="00857439">
            <w:pPr>
              <w:pStyle w:val="rvps2"/>
              <w:shd w:val="clear" w:color="auto" w:fill="FFFFFF"/>
              <w:spacing w:before="0" w:after="0"/>
              <w:ind w:firstLine="600"/>
              <w:jc w:val="both"/>
              <w:rPr>
                <w:sz w:val="28"/>
                <w:szCs w:val="28"/>
                <w:lang w:val="uk-UA"/>
              </w:rPr>
            </w:pPr>
            <w:r w:rsidRPr="004D3B2B">
              <w:rPr>
                <w:color w:val="1F2021"/>
                <w:sz w:val="28"/>
                <w:szCs w:val="28"/>
                <w:lang w:val="uk-UA"/>
              </w:rPr>
              <w:t>…</w:t>
            </w:r>
          </w:p>
          <w:p w:rsidR="002D3168" w:rsidRPr="00857439" w:rsidRDefault="002D3168" w:rsidP="00857439">
            <w:pPr>
              <w:pStyle w:val="rvps2"/>
              <w:shd w:val="clear" w:color="auto" w:fill="FFFFFF"/>
              <w:spacing w:before="0" w:after="0"/>
              <w:ind w:firstLine="600"/>
              <w:jc w:val="both"/>
              <w:rPr>
                <w:b/>
                <w:sz w:val="28"/>
                <w:szCs w:val="28"/>
                <w:lang w:val="uk-UA"/>
              </w:rPr>
            </w:pPr>
            <w:r w:rsidRPr="004D3B2B">
              <w:rPr>
                <w:rFonts w:eastAsia="MS Mincho"/>
                <w:color w:val="1F2021"/>
                <w:sz w:val="28"/>
                <w:szCs w:val="28"/>
                <w:lang w:val="uk-UA"/>
              </w:rPr>
              <w:t xml:space="preserve">5) утворює комісії з всеукраїнського референдуму </w:t>
            </w:r>
            <w:r w:rsidRPr="00857439">
              <w:rPr>
                <w:rFonts w:eastAsia="MS Mincho"/>
                <w:b/>
                <w:color w:val="1F2021"/>
                <w:sz w:val="28"/>
                <w:szCs w:val="28"/>
                <w:lang w:val="uk-UA"/>
              </w:rPr>
              <w:t>(крім дільничних).</w:t>
            </w:r>
          </w:p>
          <w:p w:rsidR="002D3168" w:rsidRPr="004D3B2B" w:rsidRDefault="002D3168" w:rsidP="00FE0D73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D3B2B">
              <w:rPr>
                <w:color w:val="1F2021"/>
                <w:sz w:val="28"/>
                <w:szCs w:val="28"/>
                <w:lang w:val="uk-UA"/>
              </w:rPr>
              <w:t>…</w:t>
            </w:r>
          </w:p>
        </w:tc>
        <w:tc>
          <w:tcPr>
            <w:tcW w:w="775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D3168" w:rsidRPr="004D3B2B" w:rsidRDefault="002D3168" w:rsidP="00857439">
            <w:pPr>
              <w:widowControl w:val="0"/>
              <w:spacing w:after="0" w:line="240" w:lineRule="auto"/>
              <w:ind w:firstLine="5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  <w:t>Стаття 20.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 xml:space="preserve"> Повноваження Комісії щодо організації підготовки і проведення всеукраїнського референдуму</w:t>
            </w:r>
          </w:p>
          <w:p w:rsidR="00857439" w:rsidRDefault="00857439" w:rsidP="00857439">
            <w:pPr>
              <w:widowControl w:val="0"/>
              <w:spacing w:after="0" w:line="240" w:lineRule="auto"/>
              <w:ind w:firstLine="532"/>
              <w:jc w:val="both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2D3168" w:rsidRPr="004D3B2B" w:rsidRDefault="002D3168" w:rsidP="00857439">
            <w:pPr>
              <w:widowControl w:val="0"/>
              <w:spacing w:after="0" w:line="240" w:lineRule="auto"/>
              <w:ind w:firstLine="5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Комісія:</w:t>
            </w:r>
          </w:p>
          <w:p w:rsidR="002D3168" w:rsidRPr="004D3B2B" w:rsidRDefault="002D3168" w:rsidP="00857439">
            <w:pPr>
              <w:widowControl w:val="0"/>
              <w:spacing w:after="0" w:line="240" w:lineRule="auto"/>
              <w:ind w:firstLine="5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color w:val="1F2021"/>
                <w:sz w:val="28"/>
                <w:szCs w:val="28"/>
                <w:lang w:val="uk-UA" w:eastAsia="ru-RU"/>
              </w:rPr>
              <w:t>…</w:t>
            </w:r>
          </w:p>
          <w:p w:rsidR="002D3168" w:rsidRPr="004D3B2B" w:rsidRDefault="002D3168" w:rsidP="00857439">
            <w:pPr>
              <w:spacing w:before="120" w:after="0" w:line="240" w:lineRule="auto"/>
              <w:ind w:firstLine="5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5) утворює комісії з всеукраїнського референдуму.</w:t>
            </w:r>
          </w:p>
          <w:p w:rsidR="00E22503" w:rsidRPr="004D3B2B" w:rsidRDefault="002D3168" w:rsidP="004F5029">
            <w:pPr>
              <w:spacing w:before="120" w:after="0" w:line="240" w:lineRule="auto"/>
              <w:ind w:firstLine="53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4F5029" w:rsidRPr="004D3B2B" w:rsidTr="001434FF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1516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4F5029" w:rsidRPr="004D3B2B" w:rsidRDefault="004F5029" w:rsidP="001434FF">
            <w:pPr>
              <w:spacing w:before="120" w:after="120" w:line="240" w:lineRule="auto"/>
              <w:ind w:firstLine="86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Закон України "Про запобігання корупції"</w:t>
            </w:r>
          </w:p>
        </w:tc>
      </w:tr>
      <w:tr w:rsidR="004F5029" w:rsidRPr="004D3B2B" w:rsidTr="001434FF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7412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:rsidR="004F5029" w:rsidRPr="004D3B2B" w:rsidRDefault="004F5029" w:rsidP="001434FF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  <w:t xml:space="preserve">Стаття 11. </w:t>
            </w:r>
            <w:r w:rsidRPr="004D3B2B">
              <w:rPr>
                <w:rFonts w:ascii="Times New Roman" w:eastAsia="MS Mincho" w:hAnsi="Times New Roman"/>
                <w:b/>
                <w:color w:val="1F2021"/>
                <w:sz w:val="28"/>
                <w:szCs w:val="28"/>
                <w:lang w:val="uk-UA" w:eastAsia="ru-RU"/>
              </w:rPr>
              <w:t>Повноваження Національного агентства</w:t>
            </w:r>
          </w:p>
          <w:p w:rsidR="004F5029" w:rsidRPr="004D3B2B" w:rsidRDefault="004F5029" w:rsidP="001434FF">
            <w:pPr>
              <w:widowControl w:val="0"/>
              <w:spacing w:after="0" w:line="240" w:lineRule="auto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4F5029" w:rsidRPr="004D3B2B" w:rsidRDefault="004F5029" w:rsidP="001434FF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1. До повноважень Національного агентства належать:</w:t>
            </w:r>
          </w:p>
          <w:p w:rsidR="004F5029" w:rsidRPr="004D3B2B" w:rsidRDefault="004F5029" w:rsidP="001434FF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color w:val="1F2021"/>
                <w:sz w:val="28"/>
                <w:szCs w:val="28"/>
                <w:lang w:val="uk-UA" w:eastAsia="ru-RU"/>
              </w:rPr>
              <w:t>…</w:t>
            </w:r>
          </w:p>
          <w:p w:rsidR="004F5029" w:rsidRPr="004D3B2B" w:rsidRDefault="004F5029" w:rsidP="001434FF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57439">
              <w:rPr>
                <w:rFonts w:eastAsia="MS Mincho"/>
                <w:color w:val="1F2021"/>
                <w:sz w:val="28"/>
                <w:szCs w:val="28"/>
                <w:lang w:val="uk-UA"/>
              </w:rPr>
              <w:t>8</w:t>
            </w:r>
            <w:r w:rsidRPr="00857439">
              <w:rPr>
                <w:rFonts w:eastAsia="MS Mincho"/>
                <w:b/>
                <w:bCs/>
                <w:color w:val="1F2021"/>
                <w:sz w:val="28"/>
                <w:szCs w:val="28"/>
                <w:lang w:val="uk-UA"/>
              </w:rPr>
              <w:t>-</w:t>
            </w:r>
            <w:r w:rsidRPr="00857439">
              <w:rPr>
                <w:rFonts w:eastAsia="MS Mincho"/>
                <w:bCs/>
                <w:color w:val="1F2021"/>
                <w:sz w:val="28"/>
                <w:szCs w:val="28"/>
                <w:lang w:val="uk-UA"/>
              </w:rPr>
              <w:t>1</w:t>
            </w:r>
            <w:r w:rsidRPr="00857439">
              <w:rPr>
                <w:rFonts w:eastAsia="MS Mincho"/>
                <w:color w:val="1F2021"/>
                <w:sz w:val="28"/>
                <w:szCs w:val="28"/>
                <w:lang w:val="uk-UA"/>
              </w:rPr>
              <w:t>)</w:t>
            </w:r>
            <w:r w:rsidRPr="004D3B2B">
              <w:rPr>
                <w:rFonts w:eastAsia="MS Mincho"/>
                <w:color w:val="1F2021"/>
                <w:sz w:val="28"/>
                <w:szCs w:val="28"/>
                <w:lang w:val="uk-UA"/>
              </w:rPr>
              <w:t xml:space="preserve"> здійснення у порядку та в межах, визначених законом, державного контролю за дотриманням встановлених законом обмежень щодо фінансування політичних партій, законним та цільовим використанням політичними партіями коштів, виділених з державного бюджету на фінансування їхньої статутної діяльності, своєчасністю подання звітів партій про майно, доходи, витрати і зобов</w:t>
            </w:r>
            <w:r>
              <w:rPr>
                <w:rFonts w:eastAsia="MS Mincho"/>
                <w:color w:val="1F2021"/>
                <w:sz w:val="28"/>
                <w:szCs w:val="28"/>
                <w:lang w:val="uk-UA"/>
              </w:rPr>
              <w:t>'</w:t>
            </w:r>
            <w:r w:rsidRPr="004D3B2B">
              <w:rPr>
                <w:rFonts w:eastAsia="MS Mincho"/>
                <w:color w:val="1F2021"/>
                <w:sz w:val="28"/>
                <w:szCs w:val="28"/>
                <w:lang w:val="uk-UA"/>
              </w:rPr>
              <w:t>язання фінансового характеру, звітів про надходження і використання коштів виборчих фондів на загальнодержавних та місцевих виборах, повнотою таких звітів, звіту зовнішнього незалежного фінансового аудиту діяльності партій, відповідністю їх оформлення встановленим вимогам, достовірністю включених до них відомостей.</w:t>
            </w:r>
          </w:p>
          <w:p w:rsidR="004F5029" w:rsidRPr="004D3B2B" w:rsidRDefault="004F5029" w:rsidP="001434FF">
            <w:pPr>
              <w:pStyle w:val="rvps2"/>
              <w:shd w:val="clear" w:color="auto" w:fill="FFFFFF"/>
              <w:spacing w:before="0" w:after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4D3B2B">
              <w:rPr>
                <w:color w:val="1F2021"/>
                <w:sz w:val="28"/>
                <w:szCs w:val="28"/>
                <w:lang w:val="uk-UA"/>
              </w:rPr>
              <w:t>…</w:t>
            </w:r>
          </w:p>
        </w:tc>
        <w:tc>
          <w:tcPr>
            <w:tcW w:w="775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4F5029" w:rsidRPr="004D3B2B" w:rsidRDefault="004F5029" w:rsidP="001434FF">
            <w:pPr>
              <w:widowControl w:val="0"/>
              <w:spacing w:after="0" w:line="240" w:lineRule="auto"/>
              <w:ind w:firstLine="39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  <w:t xml:space="preserve">Стаття 11. </w:t>
            </w:r>
            <w:r w:rsidRPr="004D3B2B">
              <w:rPr>
                <w:rFonts w:ascii="Times New Roman" w:eastAsia="MS Mincho" w:hAnsi="Times New Roman"/>
                <w:b/>
                <w:color w:val="1F2021"/>
                <w:sz w:val="28"/>
                <w:szCs w:val="28"/>
                <w:lang w:val="uk-UA" w:eastAsia="ru-RU"/>
              </w:rPr>
              <w:t>Повноваження Національного агентства</w:t>
            </w:r>
          </w:p>
          <w:p w:rsidR="004F5029" w:rsidRPr="004D3B2B" w:rsidRDefault="004F5029" w:rsidP="001434FF">
            <w:pPr>
              <w:widowControl w:val="0"/>
              <w:spacing w:after="0" w:line="240" w:lineRule="auto"/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</w:pPr>
          </w:p>
          <w:p w:rsidR="004F5029" w:rsidRPr="004D3B2B" w:rsidRDefault="004F5029" w:rsidP="001434FF">
            <w:pPr>
              <w:widowControl w:val="0"/>
              <w:spacing w:after="0" w:line="240" w:lineRule="auto"/>
              <w:ind w:firstLine="39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1. До повноважень Національного агентства належать:</w:t>
            </w:r>
          </w:p>
          <w:p w:rsidR="004F5029" w:rsidRPr="004D3B2B" w:rsidRDefault="004F5029" w:rsidP="001434FF">
            <w:pPr>
              <w:widowControl w:val="0"/>
              <w:spacing w:after="0" w:line="240" w:lineRule="auto"/>
              <w:ind w:firstLine="39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color w:val="1F2021"/>
                <w:sz w:val="28"/>
                <w:szCs w:val="28"/>
                <w:lang w:val="uk-UA" w:eastAsia="ru-RU"/>
              </w:rPr>
              <w:t>…</w:t>
            </w:r>
          </w:p>
          <w:p w:rsidR="004F5029" w:rsidRPr="004D3B2B" w:rsidRDefault="004F5029" w:rsidP="001434FF">
            <w:pPr>
              <w:pStyle w:val="rvps2"/>
              <w:shd w:val="clear" w:color="auto" w:fill="FFFFFF"/>
              <w:spacing w:before="0" w:after="0"/>
              <w:ind w:firstLine="390"/>
              <w:jc w:val="both"/>
              <w:rPr>
                <w:sz w:val="28"/>
                <w:szCs w:val="28"/>
                <w:lang w:val="uk-UA"/>
              </w:rPr>
            </w:pPr>
            <w:r w:rsidRPr="00857439">
              <w:rPr>
                <w:rFonts w:eastAsia="MS Mincho"/>
                <w:color w:val="1F2021"/>
                <w:sz w:val="28"/>
                <w:szCs w:val="28"/>
                <w:lang w:val="uk-UA"/>
              </w:rPr>
              <w:t>8</w:t>
            </w:r>
            <w:r w:rsidRPr="00857439">
              <w:rPr>
                <w:rFonts w:eastAsia="MS Mincho"/>
                <w:bCs/>
                <w:color w:val="1F2021"/>
                <w:sz w:val="28"/>
                <w:szCs w:val="28"/>
                <w:lang w:val="uk-UA"/>
              </w:rPr>
              <w:t>-1</w:t>
            </w:r>
            <w:r w:rsidRPr="00857439">
              <w:rPr>
                <w:rFonts w:eastAsia="MS Mincho"/>
                <w:color w:val="1F2021"/>
                <w:sz w:val="28"/>
                <w:szCs w:val="28"/>
                <w:lang w:val="uk-UA"/>
              </w:rPr>
              <w:t>)</w:t>
            </w:r>
            <w:r w:rsidRPr="004D3B2B">
              <w:rPr>
                <w:rFonts w:eastAsia="MS Mincho"/>
                <w:color w:val="1F2021"/>
                <w:sz w:val="28"/>
                <w:szCs w:val="28"/>
                <w:lang w:val="uk-UA"/>
              </w:rPr>
              <w:t xml:space="preserve"> здійснення у порядку та в межах, визначених законом, державного контролю за дотриманням встановлених законом обмежень щодо фінансування політичних партій, законним та цільовим використанням політичними партіями коштів, виділених з державного бюджету на фінансування їхньої статутної діяльності, своєчасністю подання звітів партій про майно, доходи, витрати і зобов</w:t>
            </w:r>
            <w:r>
              <w:rPr>
                <w:rFonts w:eastAsia="MS Mincho"/>
                <w:color w:val="1F2021"/>
                <w:sz w:val="28"/>
                <w:szCs w:val="28"/>
                <w:lang w:val="uk-UA"/>
              </w:rPr>
              <w:t>'</w:t>
            </w:r>
            <w:r w:rsidRPr="004D3B2B">
              <w:rPr>
                <w:rFonts w:eastAsia="MS Mincho"/>
                <w:color w:val="1F2021"/>
                <w:sz w:val="28"/>
                <w:szCs w:val="28"/>
                <w:lang w:val="uk-UA"/>
              </w:rPr>
              <w:t xml:space="preserve">язання фінансового характеру, звітів про надходження і використання коштів виборчих фондів на загальнодержавних та місцевих виборах, </w:t>
            </w:r>
            <w:r w:rsidRPr="004D3B2B">
              <w:rPr>
                <w:rFonts w:eastAsia="Symbol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звітів про надходження та використання коштів фонду агітації щодо ініціативи проведення всеукраїнського референдуму, звітів про надходження та використання коштів фонду всеукраїнського референдуму,</w:t>
            </w:r>
            <w:r w:rsidRPr="004D3B2B">
              <w:rPr>
                <w:rFonts w:eastAsia="MS Mincho"/>
                <w:color w:val="1F2021"/>
                <w:sz w:val="28"/>
                <w:szCs w:val="28"/>
                <w:lang w:val="uk-UA"/>
              </w:rPr>
              <w:t xml:space="preserve"> повнотою таких звітів, звіту зовнішнього незалежного фінансового аудиту діяльності партій, відповідністю їх оформлення встановленим вимогам, достовірністю включених до них відомостей.</w:t>
            </w:r>
          </w:p>
          <w:p w:rsidR="004F5029" w:rsidRDefault="004F5029" w:rsidP="001434FF">
            <w:pPr>
              <w:pStyle w:val="rvps2"/>
              <w:shd w:val="clear" w:color="auto" w:fill="FFFFFF"/>
              <w:spacing w:before="0" w:after="0"/>
              <w:jc w:val="both"/>
              <w:rPr>
                <w:sz w:val="28"/>
                <w:szCs w:val="28"/>
                <w:lang w:val="uk-UA"/>
              </w:rPr>
            </w:pPr>
            <w:r w:rsidRPr="004D3B2B">
              <w:rPr>
                <w:sz w:val="28"/>
                <w:szCs w:val="28"/>
                <w:lang w:val="uk-UA"/>
              </w:rPr>
              <w:t>…</w:t>
            </w:r>
          </w:p>
          <w:p w:rsidR="004F5029" w:rsidRPr="004D3B2B" w:rsidRDefault="004F5029" w:rsidP="001434FF">
            <w:pPr>
              <w:pStyle w:val="rvps2"/>
              <w:shd w:val="clear" w:color="auto" w:fill="FFFFFF"/>
              <w:spacing w:before="0" w:after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22503" w:rsidRPr="004D3B2B" w:rsidTr="001434FF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1516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E22503" w:rsidRPr="004D3B2B" w:rsidRDefault="00E22503" w:rsidP="001434FF">
            <w:pPr>
              <w:spacing w:before="120" w:after="120" w:line="240" w:lineRule="auto"/>
              <w:ind w:firstLine="86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Закон України "</w:t>
            </w:r>
            <w:r w:rsidRPr="004D3B2B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Про Конститу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ційний Суд України"</w:t>
            </w:r>
          </w:p>
        </w:tc>
      </w:tr>
      <w:tr w:rsidR="00E22503" w:rsidRPr="004D3B2B" w:rsidTr="001434FF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7412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:rsidR="00E22503" w:rsidRPr="004D3B2B" w:rsidRDefault="00E22503" w:rsidP="001434FF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  <w:t>Стаття 75.</w:t>
            </w:r>
            <w:r w:rsidRPr="004D3B2B">
              <w:rPr>
                <w:rFonts w:ascii="Times New Roman" w:eastAsia="MS Mincho" w:hAnsi="Times New Roman"/>
                <w:b/>
                <w:color w:val="1F2021"/>
                <w:sz w:val="28"/>
                <w:szCs w:val="28"/>
                <w:lang w:val="uk-UA" w:eastAsia="ru-RU"/>
              </w:rPr>
              <w:t xml:space="preserve"> 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>Строки конституційного провадження</w:t>
            </w:r>
          </w:p>
          <w:p w:rsidR="00E22503" w:rsidRPr="004D3B2B" w:rsidRDefault="00E22503" w:rsidP="001434FF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color w:val="1F2021"/>
                <w:sz w:val="28"/>
                <w:szCs w:val="28"/>
                <w:lang w:val="uk-UA" w:eastAsia="ru-RU"/>
              </w:rPr>
              <w:t>…</w:t>
            </w:r>
          </w:p>
          <w:p w:rsidR="00E22503" w:rsidRPr="004D3B2B" w:rsidRDefault="00E22503" w:rsidP="001434FF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 xml:space="preserve">3. Строк конституційного провадження не може </w:t>
            </w:r>
            <w:r w:rsidRPr="004F5029">
              <w:rPr>
                <w:rFonts w:ascii="Times New Roman" w:eastAsia="MS Mincho" w:hAnsi="Times New Roman"/>
                <w:b/>
                <w:color w:val="1F2021"/>
                <w:sz w:val="28"/>
                <w:szCs w:val="28"/>
                <w:lang w:val="uk-UA" w:eastAsia="ru-RU"/>
              </w:rPr>
              <w:t>перевищувати один календарний місяць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 xml:space="preserve"> для справ:</w:t>
            </w:r>
          </w:p>
          <w:p w:rsidR="00E22503" w:rsidRPr="00857439" w:rsidRDefault="00E22503" w:rsidP="001434FF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 xml:space="preserve">1) про надання висновку щодо відповідності законопроекту про внесення змін до Конституції України вимогам </w:t>
            </w:r>
            <w:hyperlink r:id="rId6" w:anchor="n4936" w:history="1">
              <w:r w:rsidRPr="00857439">
                <w:rPr>
                  <w:rStyle w:val="a3"/>
                  <w:rFonts w:ascii="Times New Roman" w:eastAsia="MS Mincho" w:hAnsi="Times New Roman"/>
                  <w:color w:val="000000" w:themeColor="text1"/>
                  <w:sz w:val="28"/>
                  <w:szCs w:val="28"/>
                  <w:u w:val="none"/>
                  <w:lang w:val="uk-UA" w:eastAsia="ru-RU"/>
                </w:rPr>
                <w:t>статей 157</w:t>
              </w:r>
            </w:hyperlink>
            <w:r w:rsidRPr="00857439">
              <w:rPr>
                <w:rFonts w:ascii="Times New Roman" w:eastAsia="MS Mincho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і </w:t>
            </w:r>
            <w:hyperlink r:id="rId7" w:anchor="n4938" w:history="1">
              <w:r w:rsidRPr="00857439">
                <w:rPr>
                  <w:rStyle w:val="a3"/>
                  <w:rFonts w:ascii="Times New Roman" w:eastAsia="MS Mincho" w:hAnsi="Times New Roman"/>
                  <w:color w:val="000000" w:themeColor="text1"/>
                  <w:sz w:val="28"/>
                  <w:szCs w:val="28"/>
                  <w:u w:val="none"/>
                  <w:lang w:val="uk-UA" w:eastAsia="ru-RU"/>
                </w:rPr>
                <w:t>158</w:t>
              </w:r>
            </w:hyperlink>
            <w:r w:rsidRPr="00857439">
              <w:rPr>
                <w:rFonts w:ascii="Times New Roman" w:eastAsia="MS Mincho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Конституції України;</w:t>
            </w:r>
          </w:p>
          <w:p w:rsidR="00E22503" w:rsidRPr="00857439" w:rsidRDefault="00E22503" w:rsidP="001434FF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857439">
              <w:rPr>
                <w:rFonts w:ascii="Times New Roman" w:eastAsia="MS Mincho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2) за зверненням Президента України щодо конституційності актів Кабінету Міністрів України відповідно до </w:t>
            </w:r>
            <w:hyperlink r:id="rId8" w:anchor="n4642" w:history="1">
              <w:r w:rsidRPr="00857439">
                <w:rPr>
                  <w:rStyle w:val="a3"/>
                  <w:rFonts w:ascii="Times New Roman" w:eastAsia="MS Mincho" w:hAnsi="Times New Roman"/>
                  <w:color w:val="000000" w:themeColor="text1"/>
                  <w:sz w:val="28"/>
                  <w:szCs w:val="28"/>
                  <w:u w:val="none"/>
                  <w:lang w:val="uk-UA" w:eastAsia="ru-RU"/>
                </w:rPr>
                <w:t>пункту 15</w:t>
              </w:r>
            </w:hyperlink>
            <w:r w:rsidRPr="00857439">
              <w:rPr>
                <w:rFonts w:ascii="Times New Roman" w:eastAsia="MS Mincho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частини першої статті 106 Конституції України;</w:t>
            </w:r>
          </w:p>
          <w:p w:rsidR="00E22503" w:rsidRPr="004D3B2B" w:rsidRDefault="00E22503" w:rsidP="001434FF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57439">
              <w:rPr>
                <w:rFonts w:eastAsia="MS Mincho"/>
                <w:color w:val="000000" w:themeColor="text1"/>
                <w:sz w:val="28"/>
                <w:szCs w:val="28"/>
                <w:lang w:val="uk-UA"/>
              </w:rPr>
              <w:t>3) щодо яких Сенат,</w:t>
            </w:r>
            <w:r w:rsidRPr="004D3B2B">
              <w:rPr>
                <w:rFonts w:eastAsia="MS Mincho"/>
                <w:color w:val="1F2021"/>
                <w:sz w:val="28"/>
                <w:szCs w:val="28"/>
                <w:lang w:val="uk-UA"/>
              </w:rPr>
              <w:t xml:space="preserve"> Велика палата визнали конституційне провадження невідкладним.</w:t>
            </w:r>
          </w:p>
          <w:p w:rsidR="00E22503" w:rsidRPr="004D3B2B" w:rsidRDefault="00E22503" w:rsidP="001434FF">
            <w:pPr>
              <w:pStyle w:val="rvps2"/>
              <w:shd w:val="clear" w:color="auto" w:fill="FFFFFF"/>
              <w:spacing w:before="0" w:after="0"/>
              <w:ind w:firstLine="450"/>
              <w:jc w:val="both"/>
              <w:rPr>
                <w:sz w:val="28"/>
                <w:szCs w:val="28"/>
                <w:lang w:val="uk-UA"/>
              </w:rPr>
            </w:pPr>
            <w:r>
              <w:rPr>
                <w:rFonts w:eastAsia="MS Mincho"/>
                <w:b/>
                <w:color w:val="1F2021"/>
                <w:sz w:val="28"/>
                <w:szCs w:val="28"/>
                <w:lang w:val="uk-UA"/>
              </w:rPr>
              <w:t>Пункт відсутній</w:t>
            </w:r>
            <w:r w:rsidR="00C35E74">
              <w:rPr>
                <w:rFonts w:eastAsia="MS Mincho"/>
                <w:b/>
                <w:color w:val="1F2021"/>
                <w:sz w:val="28"/>
                <w:szCs w:val="28"/>
                <w:lang w:val="uk-UA"/>
              </w:rPr>
              <w:t>.</w:t>
            </w:r>
          </w:p>
          <w:p w:rsidR="00E22503" w:rsidRPr="004D3B2B" w:rsidRDefault="00E22503" w:rsidP="001434FF">
            <w:pPr>
              <w:pStyle w:val="rvps2"/>
              <w:shd w:val="clear" w:color="auto" w:fill="FFFFFF"/>
              <w:spacing w:before="0" w:after="0"/>
              <w:ind w:firstLine="450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22503" w:rsidRPr="004D3B2B" w:rsidRDefault="00E22503" w:rsidP="001434F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</w:pPr>
          </w:p>
        </w:tc>
        <w:tc>
          <w:tcPr>
            <w:tcW w:w="775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E22503" w:rsidRPr="004D3B2B" w:rsidRDefault="00E22503" w:rsidP="001434FF">
            <w:pPr>
              <w:widowControl w:val="0"/>
              <w:spacing w:after="0" w:line="240" w:lineRule="auto"/>
              <w:ind w:firstLine="5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eastAsia="MS Mincho" w:hAnsi="Times New Roman"/>
                <w:b/>
                <w:bCs/>
                <w:color w:val="1F2021"/>
                <w:sz w:val="28"/>
                <w:szCs w:val="28"/>
                <w:lang w:val="uk-UA" w:eastAsia="ru-RU"/>
              </w:rPr>
              <w:t>Стаття 75.</w:t>
            </w:r>
            <w:r w:rsidRPr="004D3B2B">
              <w:rPr>
                <w:rFonts w:ascii="Times New Roman" w:eastAsia="MS Mincho" w:hAnsi="Times New Roman"/>
                <w:color w:val="1F2021"/>
                <w:sz w:val="28"/>
                <w:szCs w:val="28"/>
                <w:lang w:val="uk-UA" w:eastAsia="ru-RU"/>
              </w:rPr>
              <w:t xml:space="preserve"> Строки конституційного провадження</w:t>
            </w:r>
          </w:p>
          <w:p w:rsidR="00E22503" w:rsidRPr="004D3B2B" w:rsidRDefault="00E22503" w:rsidP="001434FF">
            <w:pPr>
              <w:spacing w:after="0" w:line="240" w:lineRule="auto"/>
              <w:ind w:firstLine="5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D3B2B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C35E74" w:rsidRPr="00C35E74" w:rsidRDefault="00C35E74" w:rsidP="00C35E7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35E74">
              <w:rPr>
                <w:rFonts w:ascii="Times New Roman" w:eastAsia="Symbol" w:hAnsi="Times New Roman"/>
                <w:sz w:val="28"/>
                <w:szCs w:val="28"/>
                <w:lang w:val="uk-UA"/>
              </w:rPr>
              <w:t>3. Строк конституційного</w:t>
            </w:r>
            <w:r w:rsidRPr="00C35E74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C35E74">
              <w:rPr>
                <w:rFonts w:ascii="Times New Roman" w:eastAsia="Symbol" w:hAnsi="Times New Roman"/>
                <w:sz w:val="28"/>
                <w:szCs w:val="28"/>
                <w:lang w:val="uk-UA"/>
              </w:rPr>
              <w:t>провадження не може</w:t>
            </w:r>
            <w:r w:rsidRPr="00C35E74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 xml:space="preserve"> становити більше тридцяти календарних днів </w:t>
            </w:r>
            <w:r w:rsidRPr="00C35E74">
              <w:rPr>
                <w:rFonts w:ascii="Times New Roman" w:eastAsia="Symbol" w:hAnsi="Times New Roman"/>
                <w:sz w:val="28"/>
                <w:szCs w:val="28"/>
                <w:lang w:val="uk-UA"/>
              </w:rPr>
              <w:t>для справ:</w:t>
            </w:r>
          </w:p>
          <w:p w:rsidR="00C35E74" w:rsidRPr="00C35E74" w:rsidRDefault="00C35E74" w:rsidP="00C35E7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35E74">
              <w:rPr>
                <w:rFonts w:ascii="Times New Roman" w:eastAsia="Symbol" w:hAnsi="Times New Roman"/>
                <w:sz w:val="28"/>
                <w:szCs w:val="28"/>
                <w:lang w:val="uk-UA"/>
              </w:rPr>
              <w:t>1) про надання висновку щодо відповідності законопроекту про внесення змін до Конституції України вимогам статей 157 і 158 Конституції України;</w:t>
            </w:r>
          </w:p>
          <w:p w:rsidR="00C35E74" w:rsidRPr="00C35E74" w:rsidRDefault="00C35E74" w:rsidP="00C35E7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35E74">
              <w:rPr>
                <w:rFonts w:ascii="Times New Roman" w:eastAsia="Symbol" w:hAnsi="Times New Roman"/>
                <w:sz w:val="28"/>
                <w:szCs w:val="28"/>
                <w:lang w:val="uk-UA"/>
              </w:rPr>
              <w:t>2) за зверненням Президента України щодо конституційності актів Кабінету Міністрів України відповідно до пункту 15 частини першої статті 106 Конституції України;</w:t>
            </w:r>
          </w:p>
          <w:p w:rsidR="00C35E74" w:rsidRPr="00C35E74" w:rsidRDefault="00C35E74" w:rsidP="00C35E7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35E74">
              <w:rPr>
                <w:rFonts w:ascii="Times New Roman" w:eastAsia="Symbol" w:hAnsi="Times New Roman"/>
                <w:sz w:val="28"/>
                <w:szCs w:val="28"/>
                <w:lang w:val="uk-UA"/>
              </w:rPr>
              <w:t>3) щодо яких Сенат, Велика палата визнали конституційне провадження невідкладним;</w:t>
            </w:r>
          </w:p>
          <w:p w:rsidR="00C35E74" w:rsidRPr="00C35E74" w:rsidRDefault="00C35E74" w:rsidP="00C35E7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35E74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4) про надання висновку про відповідність Конституції України (конституцій</w:t>
            </w:r>
            <w:bookmarkStart w:id="3" w:name="_GoBack"/>
            <w:bookmarkEnd w:id="3"/>
            <w:r w:rsidRPr="00C35E74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н</w:t>
            </w:r>
            <w:r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ість</w:t>
            </w:r>
            <w:r w:rsidRPr="00C35E74">
              <w:rPr>
                <w:rFonts w:ascii="Times New Roman" w:eastAsia="Symbol" w:hAnsi="Times New Roman"/>
                <w:b/>
                <w:sz w:val="28"/>
                <w:szCs w:val="28"/>
                <w:lang w:val="uk-UA"/>
              </w:rPr>
              <w:t>) питання, яке пропонується для винесення на всеукраїнський референдум за народною ініціативою, міжнародного договору, що передбачає зміну території України, який вноситься до Верховної Ради України для надання згоди на його обов'язковість".</w:t>
            </w:r>
          </w:p>
          <w:p w:rsidR="00E22503" w:rsidRPr="00C35E74" w:rsidRDefault="00E22503" w:rsidP="001434FF">
            <w:pPr>
              <w:pStyle w:val="rvps2"/>
              <w:shd w:val="clear" w:color="auto" w:fill="FFFFFF"/>
              <w:spacing w:before="0" w:after="0"/>
              <w:ind w:firstLine="533"/>
              <w:jc w:val="both"/>
              <w:rPr>
                <w:sz w:val="28"/>
                <w:szCs w:val="28"/>
              </w:rPr>
            </w:pPr>
          </w:p>
        </w:tc>
      </w:tr>
    </w:tbl>
    <w:p w:rsidR="002D3168" w:rsidRDefault="002D3168" w:rsidP="00E2250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22503" w:rsidRDefault="00E22503" w:rsidP="00E2250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22503" w:rsidRPr="00E22503" w:rsidRDefault="00E22503" w:rsidP="00E2250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E22503">
        <w:rPr>
          <w:rFonts w:ascii="Times New Roman" w:hAnsi="Times New Roman"/>
          <w:b/>
          <w:sz w:val="28"/>
          <w:szCs w:val="28"/>
          <w:lang w:val="uk-UA"/>
        </w:rPr>
        <w:t>Керівник Офісу</w:t>
      </w:r>
    </w:p>
    <w:p w:rsidR="00E22503" w:rsidRPr="00E22503" w:rsidRDefault="00E22503" w:rsidP="00E2250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22503">
        <w:rPr>
          <w:rFonts w:ascii="Times New Roman" w:hAnsi="Times New Roman"/>
          <w:b/>
          <w:sz w:val="28"/>
          <w:szCs w:val="28"/>
          <w:lang w:val="uk-UA"/>
        </w:rPr>
        <w:t xml:space="preserve">Президента України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</w:t>
      </w:r>
      <w:r w:rsidRPr="00E22503">
        <w:rPr>
          <w:rFonts w:ascii="Times New Roman" w:hAnsi="Times New Roman"/>
          <w:b/>
          <w:sz w:val="28"/>
          <w:szCs w:val="28"/>
          <w:lang w:val="uk-UA"/>
        </w:rPr>
        <w:t>А.ЄРМАК</w:t>
      </w:r>
    </w:p>
    <w:sectPr w:rsidR="00E22503" w:rsidRPr="00E22503" w:rsidSect="00857439">
      <w:headerReference w:type="default" r:id="rId9"/>
      <w:pgSz w:w="16838" w:h="11906" w:orient="landscape"/>
      <w:pgMar w:top="1134" w:right="1134" w:bottom="851" w:left="1134" w:header="709" w:footer="709" w:gutter="0"/>
      <w:cols w:space="720"/>
      <w:titlePg/>
      <w:docGrid w:linePitch="360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439" w:rsidRDefault="00857439" w:rsidP="00857439">
      <w:pPr>
        <w:spacing w:after="0" w:line="240" w:lineRule="auto"/>
      </w:pPr>
      <w:r>
        <w:separator/>
      </w:r>
    </w:p>
  </w:endnote>
  <w:endnote w:type="continuationSeparator" w:id="0">
    <w:p w:rsidR="00857439" w:rsidRDefault="00857439" w:rsidP="00857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439" w:rsidRDefault="00857439" w:rsidP="00857439">
      <w:pPr>
        <w:spacing w:after="0" w:line="240" w:lineRule="auto"/>
      </w:pPr>
      <w:r>
        <w:separator/>
      </w:r>
    </w:p>
  </w:footnote>
  <w:footnote w:type="continuationSeparator" w:id="0">
    <w:p w:rsidR="00857439" w:rsidRDefault="00857439" w:rsidP="00857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871522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57439" w:rsidRPr="00857439" w:rsidRDefault="00857439">
        <w:pPr>
          <w:pStyle w:val="ad"/>
          <w:jc w:val="center"/>
          <w:rPr>
            <w:rFonts w:ascii="Times New Roman" w:hAnsi="Times New Roman"/>
            <w:sz w:val="28"/>
            <w:szCs w:val="28"/>
          </w:rPr>
        </w:pPr>
        <w:r w:rsidRPr="00857439">
          <w:rPr>
            <w:rFonts w:ascii="Times New Roman" w:hAnsi="Times New Roman"/>
            <w:sz w:val="28"/>
            <w:szCs w:val="28"/>
          </w:rPr>
          <w:fldChar w:fldCharType="begin"/>
        </w:r>
        <w:r w:rsidRPr="0085743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57439">
          <w:rPr>
            <w:rFonts w:ascii="Times New Roman" w:hAnsi="Times New Roman"/>
            <w:sz w:val="28"/>
            <w:szCs w:val="28"/>
          </w:rPr>
          <w:fldChar w:fldCharType="separate"/>
        </w:r>
        <w:r w:rsidR="00F631C1" w:rsidRPr="00F631C1">
          <w:rPr>
            <w:rFonts w:ascii="Times New Roman" w:hAnsi="Times New Roman"/>
            <w:noProof/>
            <w:sz w:val="28"/>
            <w:szCs w:val="28"/>
            <w:lang w:val="uk-UA"/>
          </w:rPr>
          <w:t>5</w:t>
        </w:r>
        <w:r w:rsidRPr="0085743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57439" w:rsidRDefault="00857439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926"/>
    <w:rsid w:val="001B5B36"/>
    <w:rsid w:val="002824A2"/>
    <w:rsid w:val="002D3168"/>
    <w:rsid w:val="004B48DE"/>
    <w:rsid w:val="004D3B2B"/>
    <w:rsid w:val="004F5029"/>
    <w:rsid w:val="0050705B"/>
    <w:rsid w:val="00596B69"/>
    <w:rsid w:val="00703B6B"/>
    <w:rsid w:val="00794E14"/>
    <w:rsid w:val="007D4EE6"/>
    <w:rsid w:val="00857439"/>
    <w:rsid w:val="00886033"/>
    <w:rsid w:val="008E03E0"/>
    <w:rsid w:val="00B35FEB"/>
    <w:rsid w:val="00C35E74"/>
    <w:rsid w:val="00C80E3D"/>
    <w:rsid w:val="00CF1926"/>
    <w:rsid w:val="00DA7417"/>
    <w:rsid w:val="00E22503"/>
    <w:rsid w:val="00ED2E59"/>
    <w:rsid w:val="00F631C1"/>
    <w:rsid w:val="00FE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4847C8D4-F67D-423E-B337-E6532CFF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/>
      <w:kern w:val="1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Шрифт абзацу за промовчанням1"/>
  </w:style>
  <w:style w:type="character" w:styleId="a3">
    <w:name w:val="Hyperlink"/>
    <w:rPr>
      <w:rFonts w:cs="Times New Roman"/>
      <w:color w:val="0000FF"/>
      <w:u w:val="single"/>
    </w:rPr>
  </w:style>
  <w:style w:type="character" w:customStyle="1" w:styleId="rvts9">
    <w:name w:val="rvts9"/>
    <w:rPr>
      <w:rFonts w:cs="Times New Roman"/>
    </w:rPr>
  </w:style>
  <w:style w:type="character" w:customStyle="1" w:styleId="rvts37">
    <w:name w:val="rvts37"/>
    <w:rPr>
      <w:rFonts w:cs="Times New Roman"/>
    </w:rPr>
  </w:style>
  <w:style w:type="character" w:customStyle="1" w:styleId="WW8Num1z0">
    <w:name w:val="WW8Num1z0"/>
    <w:rPr>
      <w:rFonts w:cs="Times New Roman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8">
    <w:name w:val="Покажчик"/>
    <w:basedOn w:val="a"/>
    <w:pPr>
      <w:suppressLineNumbers/>
    </w:pPr>
    <w:rPr>
      <w:rFonts w:cs="Arial"/>
    </w:rPr>
  </w:style>
  <w:style w:type="paragraph" w:customStyle="1" w:styleId="rvps2">
    <w:name w:val="rvps2"/>
    <w:basedOn w:val="a"/>
    <w:pPr>
      <w:spacing w:before="280" w:after="28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0">
    <w:name w:val="Абзац списку1"/>
    <w:basedOn w:val="a"/>
    <w:pPr>
      <w:ind w:left="720"/>
      <w:contextualSpacing/>
    </w:pPr>
  </w:style>
  <w:style w:type="paragraph" w:customStyle="1" w:styleId="a9">
    <w:name w:val="Вміст таблиці"/>
    <w:basedOn w:val="a"/>
    <w:pPr>
      <w:suppressLineNumbers/>
    </w:pPr>
  </w:style>
  <w:style w:type="paragraph" w:customStyle="1" w:styleId="aa">
    <w:name w:val="Заголовок таблиці"/>
    <w:basedOn w:val="a9"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7D4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uiPriority w:val="99"/>
    <w:semiHidden/>
    <w:rsid w:val="007D4EE6"/>
    <w:rPr>
      <w:rFonts w:ascii="Segoe UI" w:hAnsi="Segoe UI" w:cs="Segoe UI"/>
      <w:kern w:val="1"/>
      <w:sz w:val="18"/>
      <w:szCs w:val="18"/>
      <w:lang w:val="ru-RU" w:eastAsia="en-US"/>
    </w:rPr>
  </w:style>
  <w:style w:type="paragraph" w:styleId="ad">
    <w:name w:val="header"/>
    <w:basedOn w:val="a"/>
    <w:link w:val="ae"/>
    <w:uiPriority w:val="99"/>
    <w:unhideWhenUsed/>
    <w:rsid w:val="0085743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857439"/>
    <w:rPr>
      <w:rFonts w:ascii="Calibri" w:hAnsi="Calibri"/>
      <w:kern w:val="1"/>
      <w:sz w:val="22"/>
      <w:szCs w:val="22"/>
      <w:lang w:val="ru-RU" w:eastAsia="en-US"/>
    </w:rPr>
  </w:style>
  <w:style w:type="paragraph" w:styleId="af">
    <w:name w:val="footer"/>
    <w:basedOn w:val="a"/>
    <w:link w:val="af0"/>
    <w:uiPriority w:val="99"/>
    <w:unhideWhenUsed/>
    <w:rsid w:val="0085743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857439"/>
    <w:rPr>
      <w:rFonts w:ascii="Calibri" w:hAnsi="Calibri"/>
      <w:kern w:val="1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54&#1082;/96-&#1074;&#1088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254&#1082;/96-&#1074;&#1088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54&#1082;/96-&#1074;&#1088;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6573</Words>
  <Characters>3747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10300</CharactersWithSpaces>
  <SharedDoc>false</SharedDoc>
  <HLinks>
    <vt:vector size="60" baseType="variant">
      <vt:variant>
        <vt:i4>1145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https://zakon.rada.gov.ua/laws/show/254к/96-вр</vt:lpwstr>
      </vt:variant>
      <vt:variant>
        <vt:lpwstr>n4642</vt:lpwstr>
      </vt:variant>
      <vt:variant>
        <vt:i4>459894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https://zakon.rada.gov.ua/laws/show/254к/96-вр</vt:lpwstr>
      </vt:variant>
      <vt:variant>
        <vt:lpwstr>n4938</vt:lpwstr>
      </vt:variant>
      <vt:variant>
        <vt:i4>459894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https://zakon.rada.gov.ua/laws/show/254к/96-вр</vt:lpwstr>
      </vt:variant>
      <vt:variant>
        <vt:lpwstr>n4936</vt:lpwstr>
      </vt:variant>
      <vt:variant>
        <vt:i4>2818081</vt:i4>
      </vt:variant>
      <vt:variant>
        <vt:i4>18</vt:i4>
      </vt:variant>
      <vt:variant>
        <vt:i4>0</vt:i4>
      </vt:variant>
      <vt:variant>
        <vt:i4>5</vt:i4>
      </vt:variant>
      <vt:variant>
        <vt:lpwstr>https://ips.ligazakon.net/document/view/sh000005?an=115263</vt:lpwstr>
      </vt:variant>
      <vt:variant>
        <vt:lpwstr/>
      </vt:variant>
      <vt:variant>
        <vt:i4>5570588</vt:i4>
      </vt:variant>
      <vt:variant>
        <vt:i4>15</vt:i4>
      </vt:variant>
      <vt:variant>
        <vt:i4>0</vt:i4>
      </vt:variant>
      <vt:variant>
        <vt:i4>5</vt:i4>
      </vt:variant>
      <vt:variant>
        <vt:lpwstr>https://ips.ligazakon.net/document/view/t063504?ed=2006_02_23&amp;an=27</vt:lpwstr>
      </vt:variant>
      <vt:variant>
        <vt:lpwstr/>
      </vt:variant>
      <vt:variant>
        <vt:i4>4653135</vt:i4>
      </vt:variant>
      <vt:variant>
        <vt:i4>12</vt:i4>
      </vt:variant>
      <vt:variant>
        <vt:i4>0</vt:i4>
      </vt:variant>
      <vt:variant>
        <vt:i4>5</vt:i4>
      </vt:variant>
      <vt:variant>
        <vt:lpwstr>https://ips.ligazakon.net/document/view/z960254k?ed=2004_12_08</vt:lpwstr>
      </vt:variant>
      <vt:variant>
        <vt:lpwstr/>
      </vt:variant>
      <vt:variant>
        <vt:i4>4194392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n2577</vt:lpwstr>
      </vt:variant>
      <vt:variant>
        <vt:i4>4194392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n2572</vt:lpwstr>
      </vt:variant>
      <vt:variant>
        <vt:i4>4325464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n2556</vt:lpwstr>
      </vt:variant>
      <vt:variant>
        <vt:i4>328827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https://zakon.rada.gov.ua/laws/show/254к/96-вр</vt:lpwstr>
      </vt:variant>
      <vt:variant>
        <vt:lpwstr>n2472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 Skomorokha</dc:creator>
  <cp:keywords/>
  <cp:lastModifiedBy>Прозоровська Наталія Віталіївна</cp:lastModifiedBy>
  <cp:revision>2</cp:revision>
  <cp:lastPrinted>2020-06-05T14:05:00Z</cp:lastPrinted>
  <dcterms:created xsi:type="dcterms:W3CDTF">2020-06-05T15:41:00Z</dcterms:created>
  <dcterms:modified xsi:type="dcterms:W3CDTF">2020-06-05T15:41:00Z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Private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