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7AE" w:rsidRPr="00A7635E" w:rsidRDefault="006F57AE" w:rsidP="006F57AE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6F57AE" w:rsidRPr="00AA189A" w:rsidRDefault="006F57AE" w:rsidP="006F57AE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/>
          <w:b/>
          <w:bCs/>
          <w:sz w:val="28"/>
          <w:szCs w:val="28"/>
          <w:lang w:val="uk-UA"/>
        </w:rPr>
      </w:pPr>
      <w:r w:rsidRPr="00AA189A">
        <w:rPr>
          <w:rFonts w:ascii="Times New Roman" w:eastAsiaTheme="minorHAnsi" w:hAnsi="Times New Roman"/>
          <w:b/>
          <w:bCs/>
          <w:sz w:val="28"/>
          <w:szCs w:val="28"/>
          <w:lang w:val="uk-UA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6F57AE" w:rsidRPr="00AA189A" w:rsidRDefault="006F57AE" w:rsidP="006F57AE">
      <w:pPr>
        <w:shd w:val="clear" w:color="auto" w:fill="FFFFFF"/>
        <w:spacing w:after="0" w:line="240" w:lineRule="auto"/>
        <w:ind w:left="5103"/>
        <w:jc w:val="both"/>
        <w:rPr>
          <w:rFonts w:ascii="Times New Roman" w:eastAsiaTheme="minorHAnsi" w:hAnsi="Times New Roman"/>
          <w:b/>
          <w:bCs/>
          <w:sz w:val="28"/>
          <w:szCs w:val="28"/>
          <w:lang w:val="uk-UA"/>
        </w:rPr>
      </w:pPr>
    </w:p>
    <w:p w:rsidR="006F57AE" w:rsidRPr="00AA189A" w:rsidRDefault="006F57AE" w:rsidP="006F57AE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/>
          <w:bCs/>
          <w:sz w:val="28"/>
          <w:szCs w:val="28"/>
          <w:lang w:val="uk-UA"/>
        </w:rPr>
      </w:pPr>
      <w:r w:rsidRPr="00AA189A">
        <w:rPr>
          <w:rFonts w:ascii="Times New Roman" w:eastAsiaTheme="minorHAnsi" w:hAnsi="Times New Roman"/>
          <w:bCs/>
          <w:sz w:val="28"/>
          <w:szCs w:val="28"/>
          <w:lang w:val="uk-UA"/>
        </w:rPr>
        <w:t>Про розгляд законопроекту</w:t>
      </w:r>
    </w:p>
    <w:p w:rsidR="006F57AE" w:rsidRPr="00AA189A" w:rsidRDefault="006F57AE" w:rsidP="006F57AE">
      <w:pPr>
        <w:spacing w:after="120" w:line="24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реєстр. № 3</w:t>
      </w:r>
      <w:r w:rsidRPr="00AA189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612</w:t>
      </w: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F57AE" w:rsidRPr="00AA189A" w:rsidRDefault="006F57AE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червня 2020 року (протокол №  </w:t>
      </w:r>
      <w:r w:rsidR="00AA189A">
        <w:rPr>
          <w:rFonts w:ascii="Times New Roman" w:eastAsia="Times New Roman" w:hAnsi="Times New Roman"/>
          <w:sz w:val="28"/>
          <w:szCs w:val="28"/>
          <w:lang w:val="uk-UA" w:eastAsia="ru-RU"/>
        </w:rPr>
        <w:t>41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</w:t>
      </w:r>
      <w:r w:rsidR="009203F6" w:rsidRPr="009203F6">
        <w:rPr>
          <w:rFonts w:ascii="Times New Roman" w:eastAsia="Times New Roman" w:hAnsi="Times New Roman"/>
          <w:sz w:val="28"/>
          <w:szCs w:val="28"/>
          <w:lang w:val="uk-UA" w:eastAsia="ru-RU"/>
        </w:rPr>
        <w:t>про народовладдя через всеукраїнський референдум (реєстр. №</w:t>
      </w:r>
      <w:r w:rsidR="009203F6" w:rsidRPr="007736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9203F6" w:rsidRPr="009203F6">
        <w:rPr>
          <w:rFonts w:ascii="Times New Roman" w:eastAsia="Times New Roman" w:hAnsi="Times New Roman"/>
          <w:sz w:val="28"/>
          <w:szCs w:val="28"/>
          <w:lang w:val="uk-UA" w:eastAsia="ru-RU"/>
        </w:rPr>
        <w:t>3612 від</w:t>
      </w:r>
      <w:r w:rsidR="009203F6" w:rsidRPr="007736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9203F6" w:rsidRPr="009203F6">
        <w:rPr>
          <w:rFonts w:ascii="Times New Roman" w:eastAsia="Times New Roman" w:hAnsi="Times New Roman"/>
          <w:sz w:val="28"/>
          <w:szCs w:val="28"/>
          <w:lang w:val="uk-UA" w:eastAsia="ru-RU"/>
        </w:rPr>
        <w:t>09.06.2020),</w:t>
      </w:r>
      <w:bookmarkStart w:id="0" w:name="_GoBack"/>
      <w:bookmarkEnd w:id="0"/>
      <w:r w:rsidR="009203F6" w:rsidRPr="009203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внесений Президентом України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, і повідомляє наступне.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Згідно з преамбулою «закон 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визначає правові засади здійснення народного волевиявлення через всеукраїнський референдум, його організацію та порядок проведення» та як зазначено у пояснювальній записці законопроект </w:t>
      </w: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спрямований на врегулювання правовідносин, пов’язаних з ініціюванням, призначенням (проголошенням), підготовкою, проведенням, встановленням результатів та правовими наслідками всеукраїнського референдуму. 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законопроекті серед іншого встановлюються вимоги щодо: предмету всеукраїнського референдуму, </w:t>
      </w:r>
      <w:r w:rsidRPr="00AA189A">
        <w:rPr>
          <w:rFonts w:ascii="Times New Roman" w:hAnsi="Times New Roman"/>
          <w:sz w:val="28"/>
          <w:szCs w:val="28"/>
          <w:lang w:val="uk-UA"/>
        </w:rPr>
        <w:t xml:space="preserve">порядку здійснення народної ініціативи, 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системи комісій, що здійснюють підготовку та проведення всеукраїнського референдуму</w:t>
      </w:r>
      <w:r w:rsidRPr="00AA189A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,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їх статусу, повноважень та оплати праці членів комісії, проведення агітації, </w:t>
      </w: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інформаційного, фінансового та матеріально-технічного забезпечення організації і проведення </w:t>
      </w:r>
      <w:r w:rsidRPr="00AA189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всеукраїнського </w:t>
      </w: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>референдуму.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AA189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При цьому у </w:t>
      </w: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>розділі VI законопроекту визначено, що</w:t>
      </w:r>
      <w:r w:rsidRPr="00AA189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витрати на підготовку і проведення всеукраїнського референдуму здійснюються виключно за рахунок коштів Державного бюджету України, виділених на підготовку та проведення всеукраїнського референдуму, та коштів фондів суб'єктів процесу всеукраїнського референдуму. </w:t>
      </w: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>Згідно із законопроектом до заходів з підготовки та проведення всеукраїнського референдуму, що здійснюються за рахунок коштів державного бюджету, зокрема належить: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>– забезпечення діяльності комісій, насамперед оплата праці їх членів. Так: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 xml:space="preserve">голова, заступник голови, секретар або інші члени окружної (загальною кількістю не більше двох осіб) чи дільничної комісії з всеукраїнського референдуму (загальною кількістю не більше двох осіб) протягом усього періоду повноважень комісії або частини цього періоду можуть виконувати свої повноваження у комісії з всеукраїнського референдуму з оплатою їх праці в комісії відповідно до цього Закону </w:t>
      </w:r>
      <w:r w:rsidRPr="00AA189A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(у розмірі та порядку, встановлених Кабінетом Міністрів України за поданням Центральної виборчої комісії);</w:t>
      </w:r>
      <w:r w:rsidRPr="00AA189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оплата праці спеціалістів, експертів і технічних працівників, залучених для організаційного, правового, технічного забезпечення здійснення повноважень окружних і дільничних комісій з всеукраїнського референдуму у розмірі, що не може бути нижчим за розмір мінімальної заробітної плати, встановлений на день початку процесу всеукраїнського референдуму); 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оплати праці члена комісії з всеукраїнського референдуму, звільненого від виконання виробничих або службових обов'язків за основним місцем роботи не може бути нижчою за його середню заробітну плату за основним місцем роботи.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Водночас, чисельність членів дільничних комісій порівняно з такими комісіями, що згідно з Виборчим кодексом забезпечують вибори народних депутатів України, пропонується збільшити на 2 – 6 осіб;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– виготовлення офіційних інформаційних матеріалів всеукраїнського референдуму у кількості, визначеній Центральною виборчою комісією (до офіційних інформаційних матеріалів </w:t>
      </w:r>
      <w:r w:rsidRPr="00AA189A">
        <w:rPr>
          <w:rFonts w:ascii="Times New Roman" w:eastAsia="Times New Roman" w:hAnsi="Times New Roman"/>
          <w:bCs/>
          <w:sz w:val="28"/>
          <w:szCs w:val="24"/>
          <w:lang w:val="uk-UA" w:eastAsia="ru-RU"/>
        </w:rPr>
        <w:t xml:space="preserve">всеукраїнського </w:t>
      </w: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референдуму належать: текст питання </w:t>
      </w:r>
      <w:r w:rsidRPr="00AA189A">
        <w:rPr>
          <w:rFonts w:ascii="Times New Roman" w:eastAsia="Times New Roman" w:hAnsi="Times New Roman"/>
          <w:bCs/>
          <w:sz w:val="28"/>
          <w:szCs w:val="24"/>
          <w:lang w:val="uk-UA" w:eastAsia="ru-RU"/>
        </w:rPr>
        <w:t xml:space="preserve">всеукраїнського </w:t>
      </w: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>референдуму та інформаційні плакати, що роз'яснюють порядок голосування та відповідальність за порушення законодавства про всеукраїнський референдум).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Поряд з тим, законопроектом передбачається, що: 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підтримання ініціативи проведення всеукраїнського референдуму може реалізовуватися виборцями засобами автоматизованої інформаційно-аналітичної системи, порядок створення та функціонування якої затверджується Центральною виборчою комісією;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кожний виборець на конкретному всеукраїнському референдумі може реалізувати право голосу шляхом електронного голосування</w:t>
      </w:r>
      <w:r w:rsidRPr="00AA189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 порядку, визначеному законом. Для реалізації такого права створюється окремо дільнична комісія з електронного голосування з всеукраїнського референдуму. 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Згідно із законопроектом для організаційного, правового, інформаційного, технічного забезпечення здійснення своїх повноважень Центральна виборча комісія на час процесу всеукраїнського референдуму може залучати відповідних спеціалістів, експертів та технічних працівників.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Слід відмітити, що впровадження таких положень також має забезпечуватися за рахунок коштів державного бюджету.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м</w:t>
      </w:r>
      <w:r w:rsidRPr="00AA189A">
        <w:rPr>
          <w:rFonts w:ascii="Times New Roman" w:eastAsia="Symbol" w:hAnsi="Times New Roman"/>
          <w:sz w:val="28"/>
          <w:szCs w:val="28"/>
          <w:lang w:val="uk-UA"/>
        </w:rPr>
        <w:t xml:space="preserve">ісцеві органи виконавчої влади, органи місцевого самоврядування або інші органи, їх посадові та службові особи зобов'язані сприяти комісіям з всеукраїнського референдуму в реалізації їх повноважень: надавати необхідні приміщення для організації роботи та проведення голосування відповідно до вимог цього Закону та нормативів облаштування </w:t>
      </w:r>
      <w:r w:rsidRPr="00AA189A">
        <w:rPr>
          <w:rFonts w:ascii="Times New Roman" w:eastAsia="Symbol" w:hAnsi="Times New Roman"/>
          <w:sz w:val="28"/>
          <w:szCs w:val="28"/>
          <w:lang w:val="uk-UA"/>
        </w:rPr>
        <w:lastRenderedPageBreak/>
        <w:t xml:space="preserve">таких приміщень, 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забезпечувати їх охорону, а також охорону </w:t>
      </w:r>
      <w:r w:rsidRPr="00AA189A">
        <w:rPr>
          <w:rFonts w:ascii="Times New Roman" w:eastAsia="Symbol" w:hAnsi="Times New Roman"/>
          <w:sz w:val="28"/>
          <w:szCs w:val="28"/>
          <w:lang w:val="uk-UA"/>
        </w:rPr>
        <w:t>бюлетенів з всеукраїнського референдуму та іншої документації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, надавати транспортні засоби, засоби зв'язку, обладнання, інвентар, оргтехніку, що підлягають поверненню після припинення повноважень комісій з референдуму. При цьому порядок оплати або відшкодування зазначених послуг встановлює Кабінет Міністрів України.</w:t>
      </w:r>
    </w:p>
    <w:p w:rsidR="00AA189A" w:rsidRPr="00AA189A" w:rsidRDefault="00AA189A" w:rsidP="00AA189A">
      <w:pPr>
        <w:pStyle w:val="a8"/>
        <w:tabs>
          <w:tab w:val="left" w:pos="0"/>
        </w:tabs>
        <w:ind w:firstLine="567"/>
        <w:jc w:val="both"/>
      </w:pPr>
      <w:r w:rsidRPr="00AA189A">
        <w:t>Зважаючи на запропоноване, у законопроекті встановлюється, що «обсяг коштів для підготовки і проведення всеукраїнського референдуму за поданням Центральної виборчої комісії передбачається щороку окремим рядком у законі про Державний бюджет України». Відповідно у пояснювальній записці до законопроекту зазначається, що прийняття законопроекту потребуватиме видатків з державного бюджету на створення та забезпечення функціонування автоматизованої інформаційно-аналітичної системи забезпечення електронного голосування, а також на забезпечення проведення всеукраїнського референдуму.</w:t>
      </w:r>
    </w:p>
    <w:p w:rsidR="00AA189A" w:rsidRPr="00AA189A" w:rsidRDefault="00AA189A" w:rsidP="00AA189A">
      <w:pPr>
        <w:pStyle w:val="a8"/>
        <w:tabs>
          <w:tab w:val="left" w:pos="0"/>
        </w:tabs>
        <w:ind w:firstLine="567"/>
        <w:jc w:val="both"/>
      </w:pPr>
      <w:r w:rsidRPr="00AA189A">
        <w:rPr>
          <w:szCs w:val="24"/>
          <w:lang w:eastAsia="ru-RU"/>
        </w:rPr>
        <w:t xml:space="preserve">Однак, до законопроекту не надано належне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(для досягнення збалансованості бюджету), </w:t>
      </w:r>
      <w:r w:rsidRPr="00AA189A">
        <w:rPr>
          <w:bCs/>
          <w:szCs w:val="24"/>
          <w:lang w:eastAsia="ru-RU"/>
        </w:rPr>
        <w:t xml:space="preserve">що не відповідає вимогам частини першої статті 27 Бюджетного кодексу України та частини третьої статті 91 Регламенту Верховної Ради України. </w:t>
      </w:r>
      <w:r w:rsidRPr="00AA189A">
        <w:t xml:space="preserve">Натомість </w:t>
      </w:r>
      <w:r w:rsidRPr="00AA189A">
        <w:rPr>
          <w:rFonts w:eastAsia="Symbol"/>
          <w:bCs/>
        </w:rPr>
        <w:t xml:space="preserve">у </w:t>
      </w:r>
      <w:r w:rsidRPr="00AA189A">
        <w:rPr>
          <w:rFonts w:eastAsia="Symbol"/>
        </w:rPr>
        <w:t xml:space="preserve">пункті 3 частини третьої </w:t>
      </w:r>
      <w:r w:rsidRPr="00AA189A">
        <w:rPr>
          <w:rFonts w:eastAsia="Symbol"/>
          <w:bCs/>
        </w:rPr>
        <w:t xml:space="preserve">розділу XIII </w:t>
      </w:r>
      <w:r w:rsidRPr="00AA189A">
        <w:rPr>
          <w:rFonts w:eastAsia="Calibri"/>
        </w:rPr>
        <w:t>«Прикінцеві положення» законопроекту</w:t>
      </w:r>
      <w:r w:rsidRPr="00AA189A">
        <w:rPr>
          <w:rFonts w:eastAsia="Symbol"/>
          <w:bCs/>
        </w:rPr>
        <w:t xml:space="preserve"> доручається </w:t>
      </w:r>
      <w:r w:rsidRPr="00AA189A">
        <w:rPr>
          <w:rFonts w:eastAsia="Symbol"/>
        </w:rPr>
        <w:t>Кабінету Міністрів України при підготовці проектів закону про Державний бюджет України на 2021 рік і наступні роки передбачати кошти на створення і функціонування автоматизованої інформаційно-аналітичної системи</w:t>
      </w:r>
      <w:r w:rsidRPr="00AA189A">
        <w:rPr>
          <w:rFonts w:eastAsia="Symbol"/>
          <w:bCs/>
          <w:i/>
        </w:rPr>
        <w:t>.</w:t>
      </w:r>
    </w:p>
    <w:p w:rsidR="00AA189A" w:rsidRPr="00AA189A" w:rsidRDefault="00AA189A" w:rsidP="00AA189A">
      <w:pPr>
        <w:tabs>
          <w:tab w:val="left" w:pos="48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(далі – Мінфін) у експертному висновку до законопроекту зауважує, що визначити вартісну величину впливу на показники бюджету на даний час не вбачається можливим за відсутності вихідних даних, а саме: визначеної архітектури автоматизованої інформаційно-аналітичної системи забезпечення електронного голосування, вартості обладнання та програмного забезпечення, необхідного для її створення та забезпечення функціонування, можливості використання наявного у Центральної виборчої комісії обладнання та модифікації вже функціонуючих інформаційних систем, кількості утворюваних дільничних комісій з референдуму тощо. 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Разом з тим, Мінфін, виходячи з обсягів видатків, виділених з державного бюджету на підготовку та проведення у 2019 році виборів Президента України та позачергових виборів народних депутатів України, вважає, що проведення Всеукраїнського референдуму потребуватиме виділення коштів з державного бюджету в обсязі понад 2 млрд гривень, а на створення регіональних і територіальних представництв Центральної виборчої комісії та забезпечення їх діяльності у 2021 році необхідні додаткові видатки з державного бюджету в обсязі 802,7 млн гривень.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законопроекті також визначається, що за настання передбачених обставин невикористані кошти фонду всеукраїнського референдуму 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перераховуються установою банку, в якій було відкрито накопичувальний рахунок фонду, до Державного бюджету України на п'ятнадцятий день з дня офіційного оприлюднення Центральною виборчою комісією результатів всеукраїнського референдуму. 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огляду на вимоги Бюджетного кодексу України (далі- Кодекс) положення статті 65 «Фінансове забезпечення підготовки та проведення всеукраїнського референдуму» законопроекту належить узгодити з положеннями бюджетного законодавства, зокрема: 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зважаючи на визначення у статті 2 Кодексу термінів «фінансування бюджету», «кошторис», «витрати бюджету» пропонується: слово «фінансування» замінити словами «здійснення (проведення) видатків» залежно від змісту пропозиції, а слова «Фінансування всеукраїнського референдуму за рахунок коштів Державного бюджету України здійснюється в порядку…» – «Порядок використання коштів, передбачених на забезпечення підготовки та проведення всеукраїнського референдуму, визначається…» та використати правильно назву центрального органу виконавчої влади, а також уточнити положення, у яких застосовуються слова «кошторис видатків», «єдиний кошторис видатків», «витрати</w:t>
      </w:r>
      <w:r w:rsidRPr="00AA189A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 на підготовку та проведення всеукраїнського референдуму»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з огляду на визначені у статті 46 Кодексу стадії виконання державного бюджету за видатками та положення частин четвертої – сьомої статті 65 законопроекту щодо проведення відповідних видатків частину першу пропонується виключити (як таку, що не узгоджується з наведеними частинами статті).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val="uk-UA" w:eastAsia="uk-UA"/>
        </w:rPr>
      </w:pPr>
      <w:r w:rsidRPr="00AA189A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оскільки відповідно до частини першої статті 40 Кодексу законом про державний бюджет визначаються бюджетні призначення головним розпорядникам коштів державного бюджету за бюджетною класифікацією, слова «окремим рядком» у запропонованому у частині третій значенні не вживаються. Водночас, беручи до уваги, що потреба у коштах державного бюджету на 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підготовку та проведення всеукраїнського референдуму</w:t>
      </w:r>
      <w:r w:rsidRPr="00AA189A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 виникає у разі його призначення Президентом України або Верховною Радою України, такі кошти можна передбачити також у процесі виконання закону про державний бюджет шляхом внесення відповідних змін до нього. Тому пропонується у частині третій слова</w:t>
      </w:r>
      <w:r w:rsidRPr="00AA189A">
        <w:rPr>
          <w:rFonts w:ascii="Times New Roman" w:eastAsia="Symbol" w:hAnsi="Times New Roman"/>
          <w:sz w:val="28"/>
          <w:szCs w:val="28"/>
          <w:lang w:val="uk-UA" w:eastAsia="zh-CN"/>
        </w:rPr>
        <w:t xml:space="preserve"> «</w:t>
      </w:r>
      <w:r w:rsidRPr="00AA189A">
        <w:rPr>
          <w:rFonts w:ascii="Times New Roman" w:eastAsia="Times New Roman" w:hAnsi="Times New Roman"/>
          <w:sz w:val="28"/>
          <w:szCs w:val="24"/>
          <w:lang w:val="uk-UA" w:eastAsia="uk-UA"/>
        </w:rPr>
        <w:t>щороку окремим рядком» та друге речення виключити.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val="uk-UA" w:eastAsia="uk-UA"/>
        </w:rPr>
      </w:pPr>
      <w:r w:rsidRPr="00AA189A">
        <w:rPr>
          <w:rFonts w:ascii="Times New Roman" w:eastAsia="Times New Roman" w:hAnsi="Times New Roman"/>
          <w:sz w:val="28"/>
          <w:szCs w:val="24"/>
          <w:lang w:val="uk-UA" w:eastAsia="uk-UA"/>
        </w:rPr>
        <w:t>З приводу положень частини третьої статті 65 Мінфін звертає увагу, що питання врахування коштів у державному бюджеті на підготовку та проведення всеукраїнського референдуму має розглядатися після прийняття відповідного рішення про його призначення з урахуванням норм Бюджетного кодексу України.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Загалом </w:t>
      </w: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Міністерство фінансів підтримує законопроект, але в межах компетенції вважає за необхідне його редакційно уточнити. 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AA189A">
        <w:rPr>
          <w:rFonts w:ascii="Times New Roman" w:eastAsia="Times New Roman" w:hAnsi="Times New Roman"/>
          <w:sz w:val="28"/>
          <w:szCs w:val="24"/>
          <w:lang w:val="uk-UA" w:eastAsia="uk-UA"/>
        </w:rPr>
        <w:t>З огляду на зазначене, т</w:t>
      </w: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ермін набрання чинності законом, визначений у законопроекті </w:t>
      </w:r>
      <w:r w:rsidRPr="00AA189A">
        <w:rPr>
          <w:rFonts w:ascii="Times New Roman" w:eastAsia="Times New Roman" w:hAnsi="Times New Roman"/>
          <w:i/>
          <w:sz w:val="28"/>
          <w:szCs w:val="24"/>
          <w:lang w:val="uk-UA" w:eastAsia="ru-RU"/>
        </w:rPr>
        <w:t>(з дня, наступного за днем його опублікування</w:t>
      </w: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), належить узгодити з положеннями частини третьої статті 27 Бюджетного кодексу </w:t>
      </w: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lastRenderedPageBreak/>
        <w:t xml:space="preserve">України, що встановлює вимоги до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 </w:t>
      </w:r>
    </w:p>
    <w:p w:rsidR="00AA189A" w:rsidRPr="00AA189A" w:rsidRDefault="006F57AE" w:rsidP="00AA189A">
      <w:pPr>
        <w:spacing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  <w:lang w:val="uk-UA" w:eastAsia="ja-JP"/>
        </w:rPr>
      </w:pPr>
      <w:r w:rsidRPr="00AA189A">
        <w:rPr>
          <w:rFonts w:ascii="Times New Roman" w:eastAsia="MS Mincho" w:hAnsi="Times New Roman"/>
          <w:sz w:val="28"/>
          <w:szCs w:val="28"/>
          <w:lang w:val="uk-UA" w:eastAsia="ja-JP"/>
        </w:rPr>
        <w:t>За результатами р</w:t>
      </w:r>
      <w:r w:rsidR="00AA189A" w:rsidRPr="00AA189A">
        <w:rPr>
          <w:rFonts w:ascii="Times New Roman" w:eastAsia="MS Mincho" w:hAnsi="Times New Roman"/>
          <w:sz w:val="28"/>
          <w:szCs w:val="28"/>
          <w:lang w:val="uk-UA" w:eastAsia="ja-JP"/>
        </w:rPr>
        <w:t>озгляду Комітет ухвалив рішення:</w:t>
      </w:r>
    </w:p>
    <w:p w:rsidR="00AA189A" w:rsidRPr="00AA189A" w:rsidRDefault="00AA189A" w:rsidP="00AA18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AA189A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 xml:space="preserve">1.Проект закону 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>про народовладдя через всеукраїнський референдум (реєстр. № 3612 від 09.06.2020), внесений Президентом України,</w:t>
      </w: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має вплив на показники державного бюджету (призведе до збільшення видатків, а також може зумовити збільшення доходів у разі перерахування невикористаних коштів </w:t>
      </w:r>
      <w:r w:rsidRPr="00AA189A">
        <w:rPr>
          <w:rFonts w:ascii="Times New Roman" w:eastAsia="Symbol" w:hAnsi="Times New Roman"/>
          <w:sz w:val="28"/>
          <w:szCs w:val="28"/>
          <w:lang w:val="uk-UA"/>
        </w:rPr>
        <w:t xml:space="preserve">фонду всеукраїнського референдуму </w:t>
      </w:r>
      <w:r w:rsidRPr="00AA189A">
        <w:rPr>
          <w:rFonts w:ascii="Times New Roman" w:eastAsia="Times New Roman" w:hAnsi="Times New Roman"/>
          <w:spacing w:val="-2"/>
          <w:sz w:val="28"/>
          <w:szCs w:val="24"/>
          <w:lang w:val="uk-UA" w:eastAsia="ru-RU"/>
        </w:rPr>
        <w:t>).</w:t>
      </w: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У разі прийняття відповідного закону до 15 липня 2020 року він має вводитися в дію не раніше 1 січня 2021 року, а після 15 липня 2020 року – не раніше 1 січня 2022 року (або 1 січня наступного за цим року залежно від часу прийняття закону).</w:t>
      </w:r>
    </w:p>
    <w:p w:rsidR="00AA189A" w:rsidRPr="00AA189A" w:rsidRDefault="00AA189A" w:rsidP="00AA189A">
      <w:pPr>
        <w:shd w:val="clear" w:color="auto" w:fill="FFFFFF"/>
        <w:tabs>
          <w:tab w:val="left" w:pos="0"/>
        </w:tabs>
        <w:spacing w:after="0" w:line="270" w:lineRule="atLeast"/>
        <w:ind w:firstLine="567"/>
        <w:jc w:val="both"/>
        <w:rPr>
          <w:lang w:val="uk-UA"/>
        </w:rPr>
      </w:pPr>
      <w:r w:rsidRPr="00AA189A">
        <w:rPr>
          <w:rFonts w:ascii="Times New Roman" w:eastAsia="Times New Roman" w:hAnsi="Times New Roman"/>
          <w:sz w:val="28"/>
          <w:szCs w:val="24"/>
          <w:lang w:val="uk-UA" w:eastAsia="ru-RU"/>
        </w:rPr>
        <w:t>2. Рекомендувати</w:t>
      </w:r>
      <w:r w:rsidRPr="00AA18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Комітету з питань організації державної влади, місцевого самоврядування, регіонального розвитку та містобудування при доопрацюванні законопроекту положення статей 64 та 65 узгодити з вимогами статей 2, 40, 46 Бюджетного кодексу України з урахуванням висновку Комітету з питань бюджету та пропозицій Міністерства фінансів України.</w:t>
      </w:r>
    </w:p>
    <w:p w:rsidR="006F57AE" w:rsidRPr="00AA189A" w:rsidRDefault="006F57AE" w:rsidP="00AA189A">
      <w:pPr>
        <w:spacing w:after="0" w:line="240" w:lineRule="auto"/>
        <w:ind w:firstLine="567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AA189A">
        <w:rPr>
          <w:rFonts w:ascii="Times New Roman" w:eastAsiaTheme="minorHAnsi" w:hAnsi="Times New Roman"/>
          <w:b/>
          <w:sz w:val="28"/>
          <w:szCs w:val="28"/>
          <w:lang w:val="uk-UA"/>
        </w:rPr>
        <w:t xml:space="preserve">Голова Комітету </w:t>
      </w:r>
      <w:r w:rsidRPr="00AA189A">
        <w:rPr>
          <w:rFonts w:ascii="Times New Roman" w:eastAsiaTheme="minorHAnsi" w:hAnsi="Times New Roman"/>
          <w:b/>
          <w:sz w:val="28"/>
          <w:szCs w:val="28"/>
          <w:lang w:val="uk-UA"/>
        </w:rPr>
        <w:tab/>
      </w:r>
      <w:r w:rsidRPr="00AA189A">
        <w:rPr>
          <w:rFonts w:ascii="Times New Roman" w:eastAsiaTheme="minorHAnsi" w:hAnsi="Times New Roman"/>
          <w:b/>
          <w:sz w:val="28"/>
          <w:szCs w:val="28"/>
          <w:lang w:val="uk-UA"/>
        </w:rPr>
        <w:tab/>
      </w:r>
      <w:r w:rsidRPr="00AA189A">
        <w:rPr>
          <w:rFonts w:ascii="Times New Roman" w:eastAsiaTheme="minorHAnsi" w:hAnsi="Times New Roman"/>
          <w:b/>
          <w:color w:val="FF0000"/>
          <w:sz w:val="28"/>
          <w:szCs w:val="28"/>
          <w:lang w:val="uk-UA"/>
        </w:rPr>
        <w:tab/>
      </w:r>
      <w:r w:rsidRPr="00AA189A">
        <w:rPr>
          <w:rFonts w:ascii="Times New Roman" w:eastAsiaTheme="minorHAnsi" w:hAnsi="Times New Roman"/>
          <w:b/>
          <w:color w:val="FF0000"/>
          <w:sz w:val="28"/>
          <w:szCs w:val="28"/>
          <w:lang w:val="uk-UA"/>
        </w:rPr>
        <w:tab/>
      </w:r>
      <w:r w:rsidRPr="00AA189A">
        <w:rPr>
          <w:rFonts w:ascii="Times New Roman" w:eastAsiaTheme="minorHAnsi" w:hAnsi="Times New Roman"/>
          <w:b/>
          <w:color w:val="FF0000"/>
          <w:sz w:val="28"/>
          <w:szCs w:val="28"/>
          <w:lang w:val="uk-UA"/>
        </w:rPr>
        <w:tab/>
      </w:r>
      <w:r w:rsidRPr="00AA189A">
        <w:rPr>
          <w:rFonts w:ascii="Times New Roman" w:eastAsiaTheme="minorHAnsi" w:hAnsi="Times New Roman"/>
          <w:b/>
          <w:sz w:val="28"/>
          <w:szCs w:val="28"/>
          <w:lang w:val="uk-UA"/>
        </w:rPr>
        <w:tab/>
      </w:r>
      <w:r w:rsidRPr="00AA189A">
        <w:rPr>
          <w:rFonts w:ascii="Times New Roman" w:eastAsiaTheme="minorHAnsi" w:hAnsi="Times New Roman"/>
          <w:b/>
          <w:sz w:val="28"/>
          <w:szCs w:val="28"/>
          <w:lang w:val="uk-UA"/>
        </w:rPr>
        <w:tab/>
        <w:t xml:space="preserve">  Ю.Ю.Арістов</w:t>
      </w: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AA189A" w:rsidRPr="00AA189A" w:rsidRDefault="00AA189A" w:rsidP="006F57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AA189A" w:rsidRPr="00AA189A" w:rsidRDefault="00AA189A" w:rsidP="006F57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AA189A" w:rsidRPr="00AA189A" w:rsidRDefault="00AA189A" w:rsidP="006F57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AA189A" w:rsidRPr="00AA189A" w:rsidRDefault="00AA189A" w:rsidP="006F57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AA189A" w:rsidRPr="00AA189A" w:rsidRDefault="00AA189A" w:rsidP="006F57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AA189A" w:rsidRPr="00AA189A" w:rsidRDefault="00AA189A" w:rsidP="006F57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6F57AE" w:rsidRPr="00AA189A" w:rsidRDefault="006F57AE" w:rsidP="006F57AE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r w:rsidRPr="00AA189A">
        <w:rPr>
          <w:rFonts w:ascii="Times New Roman" w:eastAsiaTheme="minorHAnsi" w:hAnsi="Times New Roman" w:cstheme="minorBidi"/>
          <w:sz w:val="18"/>
          <w:szCs w:val="18"/>
          <w:lang w:val="uk-UA"/>
        </w:rPr>
        <w:t>Вик.Расчислова Л.В.</w:t>
      </w:r>
    </w:p>
    <w:p w:rsidR="006F57AE" w:rsidRPr="00946DAF" w:rsidRDefault="006F57AE" w:rsidP="006F57AE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r w:rsidRPr="00AA189A">
        <w:rPr>
          <w:rFonts w:ascii="Times New Roman" w:eastAsiaTheme="minorHAnsi" w:hAnsi="Times New Roman" w:cstheme="minorBidi"/>
          <w:sz w:val="18"/>
          <w:szCs w:val="18"/>
          <w:lang w:val="uk-UA"/>
        </w:rPr>
        <w:t>255-41-14</w:t>
      </w:r>
    </w:p>
    <w:sectPr w:rsidR="006F57AE" w:rsidRPr="00946DAF" w:rsidSect="00811821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9098037"/>
      <w:docPartObj>
        <w:docPartGallery w:val="Page Numbers (Bottom of Page)"/>
        <w:docPartUnique/>
      </w:docPartObj>
    </w:sdtPr>
    <w:sdtEndPr/>
    <w:sdtContent>
      <w:p w:rsidR="00E1147B" w:rsidRDefault="009203F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203F6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9203F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203F6">
        <w:pPr>
          <w:pStyle w:val="a5"/>
          <w:jc w:val="center"/>
        </w:pPr>
      </w:p>
    </w:sdtContent>
  </w:sdt>
  <w:p w:rsidR="00A7635E" w:rsidRDefault="009203F6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9203F6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203F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9203F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9203F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9203F6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4F382482" wp14:editId="37DD78C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9203F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9203F6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9203F6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9203F6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9203F6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9203F6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dirty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7AE"/>
    <w:rsid w:val="005E278C"/>
    <w:rsid w:val="006A3395"/>
    <w:rsid w:val="006E2B60"/>
    <w:rsid w:val="006F57AE"/>
    <w:rsid w:val="009026EC"/>
    <w:rsid w:val="009203F6"/>
    <w:rsid w:val="0092621D"/>
    <w:rsid w:val="00AA189A"/>
    <w:rsid w:val="00DC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25B84"/>
  <w15:chartTrackingRefBased/>
  <w15:docId w15:val="{5515D8D3-F2E5-474C-BC6F-ECEF07E2E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7AE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F57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F57AE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6F57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F57AE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6F57A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AA189A"/>
    <w:pPr>
      <w:suppressAutoHyphens/>
      <w:spacing w:after="0" w:line="240" w:lineRule="auto"/>
      <w:jc w:val="center"/>
    </w:pPr>
    <w:rPr>
      <w:rFonts w:ascii="Times New Roman" w:eastAsia="Times New Roman" w:hAnsi="Times New Roman"/>
      <w:kern w:val="1"/>
      <w:sz w:val="28"/>
      <w:szCs w:val="28"/>
      <w:lang w:val="uk-UA" w:eastAsia="zh-CN"/>
    </w:rPr>
  </w:style>
  <w:style w:type="character" w:customStyle="1" w:styleId="a9">
    <w:name w:val="Основний текст Знак"/>
    <w:basedOn w:val="a0"/>
    <w:link w:val="a8"/>
    <w:rsid w:val="00AA189A"/>
    <w:rPr>
      <w:rFonts w:ascii="Times New Roman" w:eastAsia="Times New Roman" w:hAnsi="Times New Roman" w:cs="Times New Roman"/>
      <w:kern w:val="1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7597</Words>
  <Characters>4331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2</cp:revision>
  <cp:lastPrinted>2020-06-16T12:26:00Z</cp:lastPrinted>
  <dcterms:created xsi:type="dcterms:W3CDTF">2020-06-16T12:12:00Z</dcterms:created>
  <dcterms:modified xsi:type="dcterms:W3CDTF">2020-06-16T12:31:00Z</dcterms:modified>
</cp:coreProperties>
</file>