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7FD3" w:rsidRPr="000F23E2" w:rsidRDefault="000E7FD3" w:rsidP="000E7FD3">
      <w:pPr>
        <w:spacing w:after="0" w:line="240" w:lineRule="auto"/>
        <w:ind w:firstLine="709"/>
        <w:rPr>
          <w:szCs w:val="28"/>
        </w:rPr>
      </w:pPr>
      <w:bookmarkStart w:id="0" w:name="_GoBack"/>
      <w:bookmarkEnd w:id="0"/>
    </w:p>
    <w:p w:rsidR="000E7FD3" w:rsidRPr="000F23E2" w:rsidRDefault="000E7FD3" w:rsidP="000E7FD3">
      <w:pPr>
        <w:widowControl w:val="0"/>
        <w:tabs>
          <w:tab w:val="left" w:pos="5328"/>
        </w:tabs>
        <w:spacing w:after="0" w:line="240" w:lineRule="auto"/>
        <w:ind w:firstLine="709"/>
        <w:rPr>
          <w:szCs w:val="28"/>
        </w:rPr>
      </w:pPr>
      <w:r w:rsidRPr="000F23E2">
        <w:rPr>
          <w:szCs w:val="28"/>
        </w:rPr>
        <w:tab/>
      </w:r>
    </w:p>
    <w:p w:rsidR="000E7FD3" w:rsidRPr="000F23E2" w:rsidRDefault="000E7FD3" w:rsidP="000E7FD3">
      <w:pPr>
        <w:pStyle w:val="7"/>
        <w:keepNext w:val="0"/>
        <w:widowControl w:val="0"/>
        <w:ind w:firstLine="709"/>
        <w:rPr>
          <w:rFonts w:ascii="Times New Roman" w:hAnsi="Times New Roman" w:cs="Times New Roman"/>
        </w:rPr>
      </w:pPr>
    </w:p>
    <w:p w:rsidR="000E7FD3" w:rsidRPr="000F23E2" w:rsidRDefault="000E7FD3" w:rsidP="000E7FD3">
      <w:pPr>
        <w:pStyle w:val="7"/>
        <w:keepNext w:val="0"/>
        <w:widowControl w:val="0"/>
        <w:ind w:firstLine="709"/>
        <w:rPr>
          <w:rFonts w:ascii="Times New Roman" w:hAnsi="Times New Roman" w:cs="Times New Roman"/>
        </w:rPr>
      </w:pPr>
    </w:p>
    <w:p w:rsidR="000E7FD3" w:rsidRPr="000F23E2" w:rsidRDefault="000E7FD3" w:rsidP="000E7FD3">
      <w:pPr>
        <w:pStyle w:val="7"/>
        <w:keepNext w:val="0"/>
        <w:widowControl w:val="0"/>
        <w:ind w:firstLine="709"/>
        <w:rPr>
          <w:rFonts w:ascii="Times New Roman" w:hAnsi="Times New Roman" w:cs="Times New Roman"/>
        </w:rPr>
      </w:pPr>
    </w:p>
    <w:p w:rsidR="000E7FD3" w:rsidRPr="000F23E2" w:rsidRDefault="000E7FD3" w:rsidP="000E7FD3">
      <w:pPr>
        <w:pStyle w:val="7"/>
        <w:keepNext w:val="0"/>
        <w:widowControl w:val="0"/>
        <w:ind w:firstLine="709"/>
        <w:rPr>
          <w:rFonts w:ascii="Times New Roman" w:hAnsi="Times New Roman" w:cs="Times New Roman"/>
        </w:rPr>
      </w:pPr>
    </w:p>
    <w:p w:rsidR="0052438B" w:rsidRPr="000F23E2" w:rsidRDefault="0052438B" w:rsidP="0052438B">
      <w:pPr>
        <w:rPr>
          <w:szCs w:val="28"/>
          <w:lang w:eastAsia="ru-RU"/>
        </w:rPr>
      </w:pPr>
    </w:p>
    <w:p w:rsidR="0052438B" w:rsidRPr="000F23E2" w:rsidRDefault="0052438B" w:rsidP="0052438B">
      <w:pPr>
        <w:rPr>
          <w:szCs w:val="28"/>
          <w:lang w:eastAsia="ru-RU"/>
        </w:rPr>
      </w:pPr>
    </w:p>
    <w:p w:rsidR="000E7FD3" w:rsidRPr="000F23E2" w:rsidRDefault="000E7FD3" w:rsidP="000E7FD3">
      <w:pPr>
        <w:pStyle w:val="7"/>
        <w:keepNext w:val="0"/>
        <w:widowControl w:val="0"/>
        <w:ind w:firstLine="709"/>
        <w:rPr>
          <w:rFonts w:ascii="Times New Roman" w:hAnsi="Times New Roman" w:cs="Times New Roman"/>
        </w:rPr>
      </w:pPr>
    </w:p>
    <w:p w:rsidR="000E7FD3" w:rsidRPr="000F23E2" w:rsidRDefault="000E7FD3" w:rsidP="000E7FD3">
      <w:pPr>
        <w:pStyle w:val="7"/>
        <w:keepNext w:val="0"/>
        <w:widowControl w:val="0"/>
        <w:ind w:firstLine="0"/>
        <w:rPr>
          <w:rFonts w:ascii="Times New Roman" w:hAnsi="Times New Roman" w:cs="Times New Roman"/>
        </w:rPr>
      </w:pPr>
      <w:r w:rsidRPr="000F23E2">
        <w:rPr>
          <w:rFonts w:ascii="Times New Roman" w:hAnsi="Times New Roman" w:cs="Times New Roman"/>
        </w:rPr>
        <w:t>ВИСНОВОК</w:t>
      </w:r>
    </w:p>
    <w:p w:rsidR="000E7FD3" w:rsidRPr="000F23E2" w:rsidRDefault="000E7FD3" w:rsidP="000E7FD3">
      <w:pPr>
        <w:pStyle w:val="a3"/>
        <w:widowControl w:val="0"/>
        <w:ind w:firstLine="0"/>
        <w:jc w:val="center"/>
        <w:rPr>
          <w:rFonts w:ascii="Times New Roman" w:hAnsi="Times New Roman" w:cs="Times New Roman"/>
          <w:b/>
        </w:rPr>
      </w:pPr>
      <w:r w:rsidRPr="000F23E2">
        <w:rPr>
          <w:rFonts w:ascii="Times New Roman" w:hAnsi="Times New Roman" w:cs="Times New Roman"/>
          <w:b/>
        </w:rPr>
        <w:t xml:space="preserve">на проект Закону України </w:t>
      </w:r>
      <w:r w:rsidRPr="000F23E2">
        <w:rPr>
          <w:rFonts w:ascii="Times New Roman" w:hAnsi="Times New Roman" w:cs="Times New Roman"/>
          <w:b/>
          <w:bCs/>
        </w:rPr>
        <w:t>«</w:t>
      </w:r>
      <w:r w:rsidRPr="000F23E2">
        <w:rPr>
          <w:rFonts w:ascii="Times New Roman" w:hAnsi="Times New Roman" w:cs="Times New Roman"/>
          <w:b/>
        </w:rPr>
        <w:t>Про внесення змін до Кримінального кодексу України щодо встановлення кримінальної відповідальності за втягнення дітей до участі у діяльності не передбачених законом воєнізованих або збройних формувань</w:t>
      </w:r>
      <w:r w:rsidRPr="000F23E2">
        <w:rPr>
          <w:rFonts w:ascii="Times New Roman" w:hAnsi="Times New Roman" w:cs="Times New Roman"/>
          <w:b/>
          <w:bCs/>
        </w:rPr>
        <w:t>»</w:t>
      </w:r>
    </w:p>
    <w:p w:rsidR="000E7FD3" w:rsidRPr="000F23E2" w:rsidRDefault="000E7FD3" w:rsidP="000E7FD3">
      <w:pPr>
        <w:pStyle w:val="a3"/>
        <w:ind w:firstLine="709"/>
        <w:rPr>
          <w:rFonts w:ascii="Times New Roman" w:hAnsi="Times New Roman" w:cs="Times New Roman"/>
        </w:rPr>
      </w:pPr>
    </w:p>
    <w:p w:rsidR="005143B1" w:rsidRPr="000F23E2" w:rsidRDefault="000E7FD3" w:rsidP="005143B1">
      <w:pPr>
        <w:pStyle w:val="a3"/>
        <w:ind w:firstLine="709"/>
        <w:rPr>
          <w:rFonts w:ascii="Times New Roman" w:hAnsi="Times New Roman" w:cs="Times New Roman"/>
        </w:rPr>
      </w:pPr>
      <w:r w:rsidRPr="000F23E2">
        <w:rPr>
          <w:rFonts w:ascii="Times New Roman" w:hAnsi="Times New Roman" w:cs="Times New Roman"/>
        </w:rPr>
        <w:t>Метою законопроекту, як зазначено в пояснювальній записці до нього, є встановлення кримінальної відповідальності за втягнення дітей до участі у діяльності не передбачених законом воєнізованих або збройних формувань, а також посилення кримінальної відповідальності за втягнення дітей у злочинну діяльність.</w:t>
      </w:r>
    </w:p>
    <w:p w:rsidR="005143B1" w:rsidRPr="000F23E2" w:rsidRDefault="000E7FD3" w:rsidP="005143B1">
      <w:pPr>
        <w:widowControl w:val="0"/>
        <w:autoSpaceDE w:val="0"/>
        <w:autoSpaceDN w:val="0"/>
        <w:adjustRightInd w:val="0"/>
        <w:spacing w:after="0" w:line="240" w:lineRule="auto"/>
        <w:ind w:firstLine="709"/>
        <w:jc w:val="both"/>
        <w:rPr>
          <w:szCs w:val="28"/>
        </w:rPr>
      </w:pPr>
      <w:r w:rsidRPr="000F23E2">
        <w:rPr>
          <w:szCs w:val="28"/>
        </w:rPr>
        <w:t xml:space="preserve">Для досягнення вказаної мети у законопроекті пропонується: 1) передбачити серед </w:t>
      </w:r>
      <w:r w:rsidRPr="000F23E2">
        <w:rPr>
          <w:color w:val="000000"/>
          <w:szCs w:val="28"/>
          <w:shd w:val="clear" w:color="auto" w:fill="FFFFFF"/>
        </w:rPr>
        <w:t xml:space="preserve">обставин, які обтяжують покарання, вчинення злочину з використанням неповнолітнього (п. 9 ч. 1 ст. 67 </w:t>
      </w:r>
      <w:r w:rsidRPr="000F23E2">
        <w:rPr>
          <w:szCs w:val="28"/>
        </w:rPr>
        <w:t xml:space="preserve">Кримінального кодексу України (далі – КК) у редакції проекту); 2) встановити кримінальну відповідальність за втягнення або примушування малолітньої або неповнолітньої особи до участі у діяльності не передбачених законом воєнізованих або збройних формувань (ч. 6 ст. 260 КК у редакції проекту); 3) доповнити ст. 304 </w:t>
      </w:r>
      <w:r w:rsidRPr="000F23E2">
        <w:rPr>
          <w:bCs/>
          <w:szCs w:val="28"/>
        </w:rPr>
        <w:t>«</w:t>
      </w:r>
      <w:r w:rsidRPr="000F23E2">
        <w:rPr>
          <w:szCs w:val="28"/>
        </w:rPr>
        <w:t xml:space="preserve">Втягнення малолітніх, неповнолітніх </w:t>
      </w:r>
      <w:r w:rsidR="005143B1" w:rsidRPr="000F23E2">
        <w:rPr>
          <w:szCs w:val="28"/>
        </w:rPr>
        <w:t xml:space="preserve">осіб </w:t>
      </w:r>
      <w:r w:rsidRPr="000F23E2">
        <w:rPr>
          <w:szCs w:val="28"/>
        </w:rPr>
        <w:t>у злочинну діяльність</w:t>
      </w:r>
      <w:r w:rsidRPr="000F23E2">
        <w:rPr>
          <w:bCs/>
          <w:szCs w:val="28"/>
        </w:rPr>
        <w:t>»</w:t>
      </w:r>
      <w:r w:rsidR="007252EA" w:rsidRPr="000F23E2">
        <w:rPr>
          <w:bCs/>
          <w:szCs w:val="28"/>
        </w:rPr>
        <w:t xml:space="preserve"> </w:t>
      </w:r>
      <w:r w:rsidR="007252EA" w:rsidRPr="000F23E2">
        <w:rPr>
          <w:szCs w:val="28"/>
        </w:rPr>
        <w:t>КК</w:t>
      </w:r>
      <w:r w:rsidR="007252EA" w:rsidRPr="000F23E2">
        <w:rPr>
          <w:bCs/>
          <w:szCs w:val="28"/>
        </w:rPr>
        <w:t xml:space="preserve"> частиною</w:t>
      </w:r>
      <w:r w:rsidRPr="000F23E2">
        <w:rPr>
          <w:bCs/>
          <w:szCs w:val="28"/>
        </w:rPr>
        <w:t xml:space="preserve"> 3 </w:t>
      </w:r>
      <w:r w:rsidRPr="000F23E2">
        <w:rPr>
          <w:szCs w:val="28"/>
        </w:rPr>
        <w:t xml:space="preserve">такого змісту: </w:t>
      </w:r>
      <w:r w:rsidRPr="000F23E2">
        <w:rPr>
          <w:bCs/>
          <w:szCs w:val="28"/>
        </w:rPr>
        <w:t>«</w:t>
      </w:r>
      <w:r w:rsidRPr="000F23E2">
        <w:rPr>
          <w:szCs w:val="28"/>
        </w:rPr>
        <w:t>Дії, передбачені частинами першою або другою цієї статті, якщо вони спричинили тяжкі наслідки для малолітнього або неповнолітнього, – караються позбавленням волі на строк від десяти до п’ятнадцяти років</w:t>
      </w:r>
      <w:r w:rsidRPr="000F23E2">
        <w:rPr>
          <w:bCs/>
          <w:szCs w:val="28"/>
        </w:rPr>
        <w:t>»</w:t>
      </w:r>
      <w:r w:rsidRPr="000F23E2">
        <w:rPr>
          <w:szCs w:val="28"/>
        </w:rPr>
        <w:t>; 4) визначити в якості кваліфікуючої ознаки найманства вчинення відповідних діянь щодо малолітнього або неповнолітнього (ч. 3 ст. 447 КК у редакції проекту).</w:t>
      </w:r>
    </w:p>
    <w:p w:rsidR="00427F42" w:rsidRPr="00CF4AD3" w:rsidRDefault="00427F42" w:rsidP="00427F42">
      <w:pPr>
        <w:spacing w:after="0" w:line="240" w:lineRule="auto"/>
        <w:ind w:firstLine="709"/>
        <w:jc w:val="both"/>
        <w:rPr>
          <w:rFonts w:eastAsia="Times New Roman"/>
          <w:color w:val="000000" w:themeColor="text1"/>
          <w:szCs w:val="28"/>
          <w:lang w:eastAsia="ru-RU"/>
        </w:rPr>
      </w:pPr>
      <w:r w:rsidRPr="000F23E2">
        <w:rPr>
          <w:rFonts w:eastAsia="Times New Roman"/>
          <w:color w:val="000000" w:themeColor="text1"/>
          <w:szCs w:val="28"/>
          <w:lang w:eastAsia="ru-RU"/>
        </w:rPr>
        <w:t xml:space="preserve">Головне </w:t>
      </w:r>
      <w:r w:rsidRPr="00CF4AD3">
        <w:rPr>
          <w:rFonts w:eastAsia="Times New Roman"/>
          <w:color w:val="000000" w:themeColor="text1"/>
          <w:szCs w:val="28"/>
          <w:lang w:eastAsia="ru-RU"/>
        </w:rPr>
        <w:t>управління, проаналізувавши поданий законопроект, вважає за необхідне висловити наступні зауваження та пропозиції.</w:t>
      </w:r>
    </w:p>
    <w:p w:rsidR="00427F42" w:rsidRPr="00CF4AD3" w:rsidRDefault="000E7FD3" w:rsidP="00427F42">
      <w:pPr>
        <w:spacing w:after="0" w:line="240" w:lineRule="auto"/>
        <w:ind w:firstLine="709"/>
        <w:jc w:val="both"/>
        <w:rPr>
          <w:szCs w:val="28"/>
        </w:rPr>
      </w:pPr>
      <w:r w:rsidRPr="00CF4AD3">
        <w:rPr>
          <w:b/>
          <w:szCs w:val="28"/>
        </w:rPr>
        <w:t>1.</w:t>
      </w:r>
      <w:r w:rsidRPr="00CF4AD3">
        <w:rPr>
          <w:szCs w:val="28"/>
        </w:rPr>
        <w:t xml:space="preserve"> Проектом пропонується серед обставин, які </w:t>
      </w:r>
      <w:r w:rsidRPr="00CF4AD3">
        <w:rPr>
          <w:color w:val="000000"/>
          <w:szCs w:val="28"/>
          <w:shd w:val="clear" w:color="auto" w:fill="FFFFFF"/>
        </w:rPr>
        <w:t xml:space="preserve">обтяжують покарання, передбачити вчинення злочину з використанням неповнолітнього (п. 9 ч. 1 ст. 67 </w:t>
      </w:r>
      <w:r w:rsidRPr="00CF4AD3">
        <w:rPr>
          <w:szCs w:val="28"/>
        </w:rPr>
        <w:t>КК</w:t>
      </w:r>
      <w:r w:rsidR="00427F42" w:rsidRPr="00CF4AD3">
        <w:rPr>
          <w:color w:val="000000" w:themeColor="text1"/>
          <w:szCs w:val="28"/>
        </w:rPr>
        <w:t xml:space="preserve"> у редакції проекту</w:t>
      </w:r>
      <w:r w:rsidRPr="00CF4AD3">
        <w:rPr>
          <w:szCs w:val="28"/>
        </w:rPr>
        <w:t xml:space="preserve">). </w:t>
      </w:r>
    </w:p>
    <w:p w:rsidR="00427F42" w:rsidRPr="000F23E2" w:rsidRDefault="00427F42" w:rsidP="00427F42">
      <w:pPr>
        <w:spacing w:after="0" w:line="240" w:lineRule="auto"/>
        <w:ind w:firstLine="709"/>
        <w:jc w:val="both"/>
        <w:rPr>
          <w:color w:val="000000" w:themeColor="text1"/>
          <w:szCs w:val="28"/>
        </w:rPr>
      </w:pPr>
      <w:r w:rsidRPr="00CF4AD3">
        <w:rPr>
          <w:i/>
          <w:color w:val="000000" w:themeColor="text1"/>
          <w:szCs w:val="28"/>
        </w:rPr>
        <w:t>По-перше</w:t>
      </w:r>
      <w:r w:rsidRPr="00CF4AD3">
        <w:rPr>
          <w:color w:val="000000" w:themeColor="text1"/>
          <w:szCs w:val="28"/>
        </w:rPr>
        <w:t>, звертаємо увагу</w:t>
      </w:r>
      <w:r w:rsidR="004B7B7E" w:rsidRPr="00CF4AD3">
        <w:rPr>
          <w:color w:val="000000" w:themeColor="text1"/>
          <w:szCs w:val="28"/>
        </w:rPr>
        <w:t xml:space="preserve"> на те</w:t>
      </w:r>
      <w:r w:rsidRPr="00CF4AD3">
        <w:rPr>
          <w:color w:val="000000" w:themeColor="text1"/>
          <w:szCs w:val="28"/>
        </w:rPr>
        <w:t xml:space="preserve">, що у зв’язку з набранням чинності </w:t>
      </w:r>
      <w:r w:rsidR="004B7B7E" w:rsidRPr="00CF4AD3">
        <w:rPr>
          <w:color w:val="000000" w:themeColor="text1"/>
          <w:szCs w:val="28"/>
        </w:rPr>
        <w:br/>
      </w:r>
      <w:r w:rsidRPr="00CF4AD3">
        <w:rPr>
          <w:color w:val="000000" w:themeColor="text1"/>
          <w:szCs w:val="28"/>
        </w:rPr>
        <w:t>1 липня 2020 р</w:t>
      </w:r>
      <w:r w:rsidR="004B7B7E" w:rsidRPr="00CF4AD3">
        <w:rPr>
          <w:color w:val="000000" w:themeColor="text1"/>
          <w:szCs w:val="28"/>
        </w:rPr>
        <w:t>оку</w:t>
      </w:r>
      <w:r w:rsidRPr="00CF4AD3">
        <w:rPr>
          <w:color w:val="000000" w:themeColor="text1"/>
          <w:szCs w:val="28"/>
        </w:rPr>
        <w:t xml:space="preserve"> Закону України «Про внесення змін до деяких законодавчих актів України щодо спрощення досудового розслідування окремих категорій кримінальних правопорушень</w:t>
      </w:r>
      <w:r w:rsidRPr="000F23E2">
        <w:rPr>
          <w:color w:val="000000" w:themeColor="text1"/>
          <w:szCs w:val="28"/>
        </w:rPr>
        <w:t xml:space="preserve">» від 22.11.2018 № 2617-VIII, злочин був </w:t>
      </w:r>
      <w:r w:rsidRPr="000F23E2">
        <w:rPr>
          <w:color w:val="000000" w:themeColor="text1"/>
          <w:szCs w:val="28"/>
        </w:rPr>
        <w:lastRenderedPageBreak/>
        <w:t xml:space="preserve">визнаний одним із </w:t>
      </w:r>
      <w:r w:rsidRPr="00CF4AD3">
        <w:rPr>
          <w:color w:val="000000" w:themeColor="text1"/>
          <w:szCs w:val="28"/>
        </w:rPr>
        <w:t>різновидів кримінального правопорушення, до яких поряд із злочинами відносяться й кримінальні проступки. У зв’язку з зазначеним слово «злочин» у кримінальному</w:t>
      </w:r>
      <w:r w:rsidRPr="000F23E2">
        <w:rPr>
          <w:color w:val="000000" w:themeColor="text1"/>
          <w:szCs w:val="28"/>
        </w:rPr>
        <w:t xml:space="preserve"> законодавстві було замінено словосполученням «</w:t>
      </w:r>
      <w:r w:rsidRPr="000F23E2">
        <w:rPr>
          <w:i/>
          <w:color w:val="000000" w:themeColor="text1"/>
          <w:szCs w:val="28"/>
        </w:rPr>
        <w:t>кримінальне правопорушення</w:t>
      </w:r>
      <w:r w:rsidRPr="000F23E2">
        <w:rPr>
          <w:color w:val="000000" w:themeColor="text1"/>
          <w:szCs w:val="28"/>
        </w:rPr>
        <w:t>» у відповідних відмінках.</w:t>
      </w:r>
    </w:p>
    <w:p w:rsidR="00427F42" w:rsidRPr="000F23E2" w:rsidRDefault="00427F42" w:rsidP="00427F42">
      <w:pPr>
        <w:spacing w:after="0" w:line="240" w:lineRule="auto"/>
        <w:ind w:firstLine="709"/>
        <w:jc w:val="both"/>
        <w:rPr>
          <w:color w:val="000000" w:themeColor="text1"/>
          <w:szCs w:val="28"/>
          <w:shd w:val="clear" w:color="auto" w:fill="FFFFFF"/>
        </w:rPr>
      </w:pPr>
      <w:r w:rsidRPr="000F23E2">
        <w:rPr>
          <w:i/>
          <w:color w:val="000000" w:themeColor="text1"/>
          <w:szCs w:val="28"/>
        </w:rPr>
        <w:t>По-друге</w:t>
      </w:r>
      <w:r w:rsidRPr="000F23E2">
        <w:rPr>
          <w:color w:val="000000" w:themeColor="text1"/>
          <w:szCs w:val="28"/>
        </w:rPr>
        <w:t xml:space="preserve">, </w:t>
      </w:r>
      <w:r w:rsidRPr="000F23E2">
        <w:rPr>
          <w:color w:val="000000" w:themeColor="text1"/>
          <w:szCs w:val="28"/>
          <w:shd w:val="clear" w:color="auto" w:fill="FFFFFF"/>
        </w:rPr>
        <w:t xml:space="preserve">обставини, які обтяжують покарання, розміщені у чинному наразі п. 9 ч. 1 ст. 67 </w:t>
      </w:r>
      <w:r w:rsidRPr="000F23E2">
        <w:rPr>
          <w:color w:val="000000" w:themeColor="text1"/>
          <w:szCs w:val="28"/>
        </w:rPr>
        <w:t>КК</w:t>
      </w:r>
      <w:r w:rsidRPr="000F23E2">
        <w:rPr>
          <w:color w:val="000000" w:themeColor="text1"/>
          <w:szCs w:val="28"/>
          <w:shd w:val="clear" w:color="auto" w:fill="FFFFFF"/>
        </w:rPr>
        <w:t xml:space="preserve"> («вчинення кримінального правопорушення з використанням </w:t>
      </w:r>
      <w:r w:rsidRPr="000F23E2">
        <w:rPr>
          <w:i/>
          <w:color w:val="000000" w:themeColor="text1"/>
          <w:szCs w:val="28"/>
          <w:shd w:val="clear" w:color="auto" w:fill="FFFFFF"/>
        </w:rPr>
        <w:t>малолітнього</w:t>
      </w:r>
      <w:r w:rsidRPr="000F23E2">
        <w:rPr>
          <w:color w:val="000000" w:themeColor="text1"/>
          <w:szCs w:val="28"/>
          <w:shd w:val="clear" w:color="auto" w:fill="FFFFFF"/>
        </w:rPr>
        <w:t xml:space="preserve"> або особи, що страждає психічним захворюванням чи недоумством»), покликані забезпечити призначення належного покарання за так зване </w:t>
      </w:r>
      <w:r w:rsidRPr="000F23E2">
        <w:rPr>
          <w:i/>
          <w:color w:val="000000" w:themeColor="text1"/>
          <w:szCs w:val="28"/>
          <w:shd w:val="clear" w:color="auto" w:fill="FFFFFF"/>
        </w:rPr>
        <w:t>посереднє вчинення кримінального правопорушення</w:t>
      </w:r>
      <w:r w:rsidRPr="000F23E2">
        <w:rPr>
          <w:color w:val="000000" w:themeColor="text1"/>
          <w:szCs w:val="28"/>
          <w:shd w:val="clear" w:color="auto" w:fill="FFFFFF"/>
        </w:rPr>
        <w:t>, тобто</w:t>
      </w:r>
      <w:r w:rsidR="004B7B7E" w:rsidRPr="00CF4AD3">
        <w:rPr>
          <w:color w:val="000000" w:themeColor="text1"/>
          <w:szCs w:val="28"/>
          <w:shd w:val="clear" w:color="auto" w:fill="FFFFFF"/>
        </w:rPr>
        <w:t>,</w:t>
      </w:r>
      <w:r w:rsidRPr="00CF4AD3">
        <w:rPr>
          <w:color w:val="000000" w:themeColor="text1"/>
          <w:szCs w:val="28"/>
          <w:shd w:val="clear" w:color="auto" w:fill="FFFFFF"/>
        </w:rPr>
        <w:t xml:space="preserve"> ситуації, за якої певна особа використала іншу особу, яка відповідно до закону </w:t>
      </w:r>
      <w:r w:rsidRPr="00CF4AD3">
        <w:rPr>
          <w:i/>
          <w:color w:val="000000" w:themeColor="text1"/>
          <w:szCs w:val="28"/>
          <w:shd w:val="clear" w:color="auto" w:fill="FFFFFF"/>
        </w:rPr>
        <w:t>не підлягає кримінальній відповідальності</w:t>
      </w:r>
      <w:r w:rsidRPr="00CF4AD3">
        <w:rPr>
          <w:color w:val="000000" w:themeColor="text1"/>
          <w:szCs w:val="28"/>
          <w:shd w:val="clear" w:color="auto" w:fill="FFFFFF"/>
        </w:rPr>
        <w:t xml:space="preserve"> за скоєне. Якщо ж особа, яку «використали», є суб’єктом кримінального правопорушення, вона сам</w:t>
      </w:r>
      <w:r w:rsidRPr="000F23E2">
        <w:rPr>
          <w:color w:val="000000" w:themeColor="text1"/>
          <w:szCs w:val="28"/>
          <w:shd w:val="clear" w:color="auto" w:fill="FFFFFF"/>
        </w:rPr>
        <w:t xml:space="preserve">остійно несе відповідальність за його вчинення. Посереднє вчинення кримінального правопорушення у цьому разі відсутнє, тому включення до п. 9 ч. 1 ст. 67 КК використання особи, яка є суб’єктом кримінального правопорушення, не виглядає логічним. </w:t>
      </w:r>
    </w:p>
    <w:p w:rsidR="00427F42" w:rsidRPr="000F23E2" w:rsidRDefault="00427F42" w:rsidP="008B6926">
      <w:pPr>
        <w:spacing w:after="0" w:line="240" w:lineRule="auto"/>
        <w:ind w:firstLine="709"/>
        <w:jc w:val="both"/>
        <w:rPr>
          <w:bCs/>
          <w:color w:val="000000" w:themeColor="text1"/>
          <w:szCs w:val="28"/>
        </w:rPr>
      </w:pPr>
      <w:r w:rsidRPr="000F23E2">
        <w:rPr>
          <w:color w:val="000000" w:themeColor="text1"/>
          <w:szCs w:val="28"/>
          <w:shd w:val="clear" w:color="auto" w:fill="FFFFFF"/>
        </w:rPr>
        <w:t xml:space="preserve">Аналіз запропонованого у п. 9 ч. 1 ст. 67 КК словосполучення </w:t>
      </w:r>
      <w:r w:rsidRPr="000F23E2">
        <w:rPr>
          <w:bCs/>
          <w:color w:val="000000" w:themeColor="text1"/>
          <w:szCs w:val="28"/>
        </w:rPr>
        <w:t>«</w:t>
      </w:r>
      <w:r w:rsidRPr="000F23E2">
        <w:rPr>
          <w:color w:val="000000" w:themeColor="text1"/>
          <w:szCs w:val="28"/>
        </w:rPr>
        <w:t xml:space="preserve">вчинення злочину з </w:t>
      </w:r>
      <w:r w:rsidRPr="00CF4AD3">
        <w:rPr>
          <w:color w:val="000000" w:themeColor="text1"/>
          <w:szCs w:val="28"/>
          <w:shd w:val="clear" w:color="auto" w:fill="FFFFFF"/>
        </w:rPr>
        <w:t xml:space="preserve">використанням малолітнього, неповнолітнього» свідчить про те, що до неповнолітніх у даному випадку слід буде віднести осіб, які досягли </w:t>
      </w:r>
      <w:r w:rsidR="004B7B7E" w:rsidRPr="00CF4AD3">
        <w:rPr>
          <w:color w:val="000000" w:themeColor="text1"/>
          <w:szCs w:val="28"/>
          <w:shd w:val="clear" w:color="auto" w:fill="FFFFFF"/>
        </w:rPr>
        <w:br/>
      </w:r>
      <w:r w:rsidRPr="00CF4AD3">
        <w:rPr>
          <w:color w:val="000000" w:themeColor="text1"/>
          <w:szCs w:val="28"/>
          <w:shd w:val="clear" w:color="auto" w:fill="FFFFFF"/>
        </w:rPr>
        <w:t>14-річного віку, але не досягли 18-річного віку. Однак вказані особи можуть визнаватися суб’єктом кримінального правопорушення. За загальним правилом кримінальній</w:t>
      </w:r>
      <w:r w:rsidRPr="000F23E2">
        <w:rPr>
          <w:color w:val="000000" w:themeColor="text1"/>
          <w:szCs w:val="28"/>
          <w:shd w:val="clear" w:color="auto" w:fill="FFFFFF"/>
        </w:rPr>
        <w:t xml:space="preserve"> відповідальності підлягають особи, яким до вчинення кримінального правопорушення виповнилося </w:t>
      </w:r>
      <w:r w:rsidRPr="00CF4AD3">
        <w:rPr>
          <w:color w:val="000000" w:themeColor="text1"/>
          <w:szCs w:val="28"/>
          <w:shd w:val="clear" w:color="auto" w:fill="FFFFFF"/>
        </w:rPr>
        <w:t>шістнадцять років (ч. 1 ст. 22 КК), а за окремі кримінальні правопорушення така відповідальність настає з чотирнадцяти років (ч. 2 ст. 22 КК). У випадку, якщо осудна особа у віці від 14 до 18 років вчиняє кримінальні правопорушення, за як</w:t>
      </w:r>
      <w:r w:rsidR="004B7B7E" w:rsidRPr="00CF4AD3">
        <w:rPr>
          <w:color w:val="000000" w:themeColor="text1"/>
          <w:szCs w:val="28"/>
          <w:shd w:val="clear" w:color="auto" w:fill="FFFFFF"/>
        </w:rPr>
        <w:t>і</w:t>
      </w:r>
      <w:r w:rsidRPr="00CF4AD3">
        <w:rPr>
          <w:color w:val="000000" w:themeColor="text1"/>
          <w:szCs w:val="28"/>
          <w:shd w:val="clear" w:color="auto" w:fill="FFFFFF"/>
        </w:rPr>
        <w:t xml:space="preserve"> вона може підлягати кримінальній відповідальності, остання є </w:t>
      </w:r>
      <w:r w:rsidRPr="00CF4AD3">
        <w:rPr>
          <w:i/>
          <w:color w:val="000000" w:themeColor="text1"/>
          <w:szCs w:val="28"/>
          <w:shd w:val="clear" w:color="auto" w:fill="FFFFFF"/>
        </w:rPr>
        <w:t>суб’єктом кримінального правопорушення</w:t>
      </w:r>
      <w:r w:rsidRPr="00CF4AD3">
        <w:rPr>
          <w:color w:val="000000" w:themeColor="text1"/>
          <w:szCs w:val="28"/>
          <w:shd w:val="clear" w:color="auto" w:fill="FFFFFF"/>
        </w:rPr>
        <w:t>, а не особою, яку «використовують» для скоєння певного суспільно небезпечного діяння. У той же час</w:t>
      </w:r>
      <w:r w:rsidR="001B0DD2" w:rsidRPr="00CF4AD3">
        <w:rPr>
          <w:color w:val="000000" w:themeColor="text1"/>
          <w:szCs w:val="28"/>
          <w:shd w:val="clear" w:color="auto" w:fill="FFFFFF"/>
        </w:rPr>
        <w:t>,</w:t>
      </w:r>
      <w:r w:rsidRPr="00CF4AD3">
        <w:rPr>
          <w:color w:val="000000" w:themeColor="text1"/>
          <w:szCs w:val="28"/>
          <w:shd w:val="clear" w:color="auto" w:fill="FFFFFF"/>
        </w:rPr>
        <w:t xml:space="preserve"> якщо особа у віці від 14 </w:t>
      </w:r>
      <w:r w:rsidR="004B7B7E" w:rsidRPr="00CF4AD3">
        <w:rPr>
          <w:color w:val="000000" w:themeColor="text1"/>
          <w:szCs w:val="28"/>
          <w:shd w:val="clear" w:color="auto" w:fill="FFFFFF"/>
        </w:rPr>
        <w:br/>
      </w:r>
      <w:r w:rsidRPr="00CF4AD3">
        <w:rPr>
          <w:color w:val="000000" w:themeColor="text1"/>
          <w:szCs w:val="28"/>
          <w:shd w:val="clear" w:color="auto" w:fill="FFFFFF"/>
        </w:rPr>
        <w:t xml:space="preserve">до 16 років вчиняє певне кримінальне правопорушення, за яке вона відповідно до закону не підлягає кримінальній відповідальності, то використання її в якості </w:t>
      </w:r>
      <w:r w:rsidRPr="00CF4AD3">
        <w:rPr>
          <w:i/>
          <w:color w:val="000000" w:themeColor="text1"/>
          <w:szCs w:val="28"/>
          <w:shd w:val="clear" w:color="auto" w:fill="FFFFFF"/>
        </w:rPr>
        <w:t>знаряддя (засобу) скоєння кримінально караного діяння</w:t>
      </w:r>
      <w:r w:rsidRPr="00CF4AD3">
        <w:rPr>
          <w:color w:val="000000" w:themeColor="text1"/>
          <w:szCs w:val="28"/>
          <w:shd w:val="clear" w:color="auto" w:fill="FFFFFF"/>
        </w:rPr>
        <w:t xml:space="preserve"> іншою особою -суб’єктом кримінального правопорушення - дійсно може</w:t>
      </w:r>
      <w:r w:rsidRPr="000F23E2">
        <w:rPr>
          <w:color w:val="000000" w:themeColor="text1"/>
          <w:szCs w:val="28"/>
          <w:shd w:val="clear" w:color="auto" w:fill="FFFFFF"/>
        </w:rPr>
        <w:t xml:space="preserve"> мати місце. Враховуючи зазначене, словосполучення </w:t>
      </w:r>
      <w:r w:rsidRPr="000F23E2">
        <w:rPr>
          <w:bCs/>
          <w:color w:val="000000" w:themeColor="text1"/>
          <w:szCs w:val="28"/>
        </w:rPr>
        <w:t>«</w:t>
      </w:r>
      <w:r w:rsidRPr="000F23E2">
        <w:rPr>
          <w:color w:val="000000" w:themeColor="text1"/>
          <w:szCs w:val="28"/>
          <w:shd w:val="clear" w:color="auto" w:fill="FFFFFF"/>
        </w:rPr>
        <w:t>вчинення злочину з використанням малолітнього, неповнолітнього</w:t>
      </w:r>
      <w:r w:rsidRPr="000F23E2">
        <w:rPr>
          <w:bCs/>
          <w:color w:val="000000" w:themeColor="text1"/>
          <w:szCs w:val="28"/>
        </w:rPr>
        <w:t>»</w:t>
      </w:r>
      <w:r w:rsidRPr="000F23E2">
        <w:rPr>
          <w:color w:val="000000" w:themeColor="text1"/>
          <w:szCs w:val="28"/>
          <w:shd w:val="clear" w:color="auto" w:fill="FFFFFF"/>
        </w:rPr>
        <w:t xml:space="preserve"> </w:t>
      </w:r>
      <w:r w:rsidRPr="000F23E2">
        <w:rPr>
          <w:bCs/>
          <w:color w:val="000000" w:themeColor="text1"/>
          <w:szCs w:val="28"/>
        </w:rPr>
        <w:t>можна було б замінити на «</w:t>
      </w:r>
      <w:r w:rsidRPr="000F23E2">
        <w:rPr>
          <w:color w:val="000000" w:themeColor="text1"/>
          <w:szCs w:val="28"/>
          <w:shd w:val="clear" w:color="auto" w:fill="FFFFFF"/>
        </w:rPr>
        <w:t>вчинення кримінального правопорушення з використанням особи, яка не досягла віку, з якого настає кримінальна відповідальність</w:t>
      </w:r>
      <w:r w:rsidRPr="000F23E2">
        <w:rPr>
          <w:bCs/>
          <w:color w:val="000000" w:themeColor="text1"/>
          <w:szCs w:val="28"/>
        </w:rPr>
        <w:t>».</w:t>
      </w:r>
    </w:p>
    <w:p w:rsidR="00817C02" w:rsidRPr="000F23E2" w:rsidRDefault="000E7FD3" w:rsidP="00817C02">
      <w:pPr>
        <w:spacing w:after="0" w:line="240" w:lineRule="auto"/>
        <w:ind w:firstLine="709"/>
        <w:jc w:val="both"/>
        <w:rPr>
          <w:color w:val="000000" w:themeColor="text1"/>
          <w:szCs w:val="28"/>
          <w:shd w:val="clear" w:color="auto" w:fill="FFFFFF"/>
        </w:rPr>
      </w:pPr>
      <w:r w:rsidRPr="000F23E2">
        <w:rPr>
          <w:b/>
          <w:color w:val="000000" w:themeColor="text1"/>
          <w:szCs w:val="28"/>
          <w:shd w:val="clear" w:color="auto" w:fill="FFFFFF"/>
        </w:rPr>
        <w:t>2.</w:t>
      </w:r>
      <w:r w:rsidRPr="000F23E2">
        <w:rPr>
          <w:color w:val="000000" w:themeColor="text1"/>
          <w:szCs w:val="28"/>
          <w:shd w:val="clear" w:color="auto" w:fill="FFFFFF"/>
        </w:rPr>
        <w:t xml:space="preserve"> У ч. 6 ст. 260 КК пропонується встановити кримінальну відповідальність за втягнення або примушування малолітньої або неповнолітньої особи до участі у </w:t>
      </w:r>
      <w:r w:rsidRPr="00CF4AD3">
        <w:rPr>
          <w:color w:val="000000" w:themeColor="text1"/>
          <w:szCs w:val="28"/>
          <w:shd w:val="clear" w:color="auto" w:fill="FFFFFF"/>
        </w:rPr>
        <w:t>діяльності не передбачених законом воєнізованих або збройних формувань. Звертаємо увагу</w:t>
      </w:r>
      <w:r w:rsidR="004B7B7E" w:rsidRPr="00CF4AD3">
        <w:rPr>
          <w:color w:val="000000" w:themeColor="text1"/>
          <w:szCs w:val="28"/>
          <w:shd w:val="clear" w:color="auto" w:fill="FFFFFF"/>
        </w:rPr>
        <w:t xml:space="preserve"> на те</w:t>
      </w:r>
      <w:r w:rsidRPr="00CF4AD3">
        <w:rPr>
          <w:color w:val="000000" w:themeColor="text1"/>
          <w:szCs w:val="28"/>
          <w:shd w:val="clear" w:color="auto" w:fill="FFFFFF"/>
        </w:rPr>
        <w:t>, що відповідальність за втягнення малолітньої або неповнолітньої особи у злочинну діяльність (зокрема, й участ</w:t>
      </w:r>
      <w:r w:rsidR="004B7B7E" w:rsidRPr="00CF4AD3">
        <w:rPr>
          <w:color w:val="000000" w:themeColor="text1"/>
          <w:szCs w:val="28"/>
          <w:shd w:val="clear" w:color="auto" w:fill="FFFFFF"/>
        </w:rPr>
        <w:t>ь</w:t>
      </w:r>
      <w:r w:rsidRPr="00CF4AD3">
        <w:rPr>
          <w:color w:val="000000" w:themeColor="text1"/>
          <w:szCs w:val="28"/>
          <w:shd w:val="clear" w:color="auto" w:fill="FFFFFF"/>
        </w:rPr>
        <w:t xml:space="preserve"> у діяльності не передбачених законом воєнізованих або збройних формувань) наразі вже передбачена чинною ст. 304 КК</w:t>
      </w:r>
      <w:r w:rsidR="00817C02" w:rsidRPr="00CF4AD3">
        <w:rPr>
          <w:color w:val="000000" w:themeColor="text1"/>
          <w:szCs w:val="28"/>
          <w:shd w:val="clear" w:color="auto" w:fill="FFFFFF"/>
        </w:rPr>
        <w:t xml:space="preserve"> </w:t>
      </w:r>
      <w:r w:rsidR="00817C02" w:rsidRPr="00CF4AD3">
        <w:rPr>
          <w:color w:val="000000" w:themeColor="text1"/>
          <w:szCs w:val="28"/>
        </w:rPr>
        <w:t>«Втягнення неповнолітніх у протиправну</w:t>
      </w:r>
      <w:r w:rsidR="00817C02" w:rsidRPr="000F23E2">
        <w:rPr>
          <w:color w:val="000000" w:themeColor="text1"/>
          <w:szCs w:val="28"/>
        </w:rPr>
        <w:t xml:space="preserve"> діяльність»</w:t>
      </w:r>
      <w:r w:rsidRPr="000F23E2">
        <w:rPr>
          <w:color w:val="000000" w:themeColor="text1"/>
          <w:szCs w:val="28"/>
          <w:shd w:val="clear" w:color="auto" w:fill="FFFFFF"/>
        </w:rPr>
        <w:t xml:space="preserve">. Таким чином, </w:t>
      </w:r>
      <w:r w:rsidRPr="000F23E2">
        <w:rPr>
          <w:color w:val="000000" w:themeColor="text1"/>
          <w:szCs w:val="28"/>
          <w:shd w:val="clear" w:color="auto" w:fill="FFFFFF"/>
        </w:rPr>
        <w:lastRenderedPageBreak/>
        <w:t xml:space="preserve">запропоновану автором законопроекту норму, передбачену ч. 6 ст. 260 КК, слід розглядати як спеціальну. </w:t>
      </w:r>
    </w:p>
    <w:p w:rsidR="00FD7E97" w:rsidRPr="000F23E2" w:rsidRDefault="00817C02" w:rsidP="00FD7E97">
      <w:pPr>
        <w:spacing w:after="0" w:line="240" w:lineRule="auto"/>
        <w:ind w:firstLine="709"/>
        <w:jc w:val="both"/>
        <w:rPr>
          <w:szCs w:val="28"/>
        </w:rPr>
      </w:pPr>
      <w:r w:rsidRPr="000F23E2">
        <w:rPr>
          <w:color w:val="000000" w:themeColor="text1"/>
          <w:szCs w:val="28"/>
        </w:rPr>
        <w:t xml:space="preserve">Водночас визнати вказану законодавчу ініціативу щодо виокремлення самостійних кримінально-правових заборон, спрямованих на встановлення відповідальності за втягнення дитини в окремі види злочинної діяльності, такою, що сприяє ефективності застосування відповідних норм кримінального закону, вкрай складно. Зокрема, аналіз кримінального законодавства України дозволяє стверджувати, що відповідальність за втягнення дитини (малолітньої або неповнолітньої особи) у злочинну або іншу антигромадську діяльність, встановлена у низці інших статей КК (наприклад, ч. 3 ст. 300, ч. 4 ст. 301, ч. 3 ст. 303, ч. ч. 2 і 3 ст. 307 та ін.), які є щодо ст. 304 КК спеціальними нормами. При цьому, в одному випадку законодавець формулює відповідне втягнення (залучення) дитини в якості окремих (самостійних) складів кримінальних правопорушень (скажімо, ст. 150-1 КК), а в іншому – як кваліфікуючі (особливо кваліфікуючі) ознаки </w:t>
      </w:r>
      <w:r w:rsidRPr="000F23E2">
        <w:rPr>
          <w:szCs w:val="28"/>
        </w:rPr>
        <w:t>(наприклад, ч. 3 ст. 309 КК)</w:t>
      </w:r>
      <w:r w:rsidRPr="000F23E2">
        <w:rPr>
          <w:rStyle w:val="ac"/>
          <w:szCs w:val="28"/>
        </w:rPr>
        <w:footnoteReference w:id="1"/>
      </w:r>
      <w:r w:rsidR="00FD7E97" w:rsidRPr="000F23E2">
        <w:rPr>
          <w:color w:val="000000" w:themeColor="text1"/>
          <w:szCs w:val="28"/>
        </w:rPr>
        <w:t xml:space="preserve">. </w:t>
      </w:r>
      <w:r w:rsidRPr="000F23E2">
        <w:rPr>
          <w:color w:val="000000" w:themeColor="text1"/>
          <w:szCs w:val="28"/>
        </w:rPr>
        <w:t>Такий законодавчий підхід, коли за одні види втягнення дитини у злочинну або іншу антигромадську діяльність кримінальна відповідальність має наставати за спеціальною нормою, а за інші (інколи, більш суспільно небезпечні види протиправної діяльності) – на підставі ст. 304 КК, не тільки ускладнює процес застосування відповідних норм на практиці, а й не дає можливості належним чином визначитися з оптимальним покаранням за скоєне.</w:t>
      </w:r>
      <w:r w:rsidR="00FD7E97" w:rsidRPr="000F23E2">
        <w:rPr>
          <w:color w:val="000000" w:themeColor="text1"/>
          <w:szCs w:val="28"/>
        </w:rPr>
        <w:t xml:space="preserve"> Наприклад, у випадку </w:t>
      </w:r>
      <w:r w:rsidR="00FD7E97" w:rsidRPr="000F23E2">
        <w:rPr>
          <w:szCs w:val="28"/>
        </w:rPr>
        <w:t xml:space="preserve">втягнення або примушування малолітньої або неповнолітньої особи до участі у діяльності не передбачених законом воєнізованих або збройних формувань (ч. 6 ст. 260 КК у редакції проекту) кваліфікувати дії винної особи ще і за ст. 304 КК буде не потрібно. Натомість, втягнення суб’єктом </w:t>
      </w:r>
      <w:r w:rsidR="00FD7E97" w:rsidRPr="000F23E2">
        <w:rPr>
          <w:color w:val="000000" w:themeColor="text1"/>
          <w:szCs w:val="28"/>
        </w:rPr>
        <w:t>кримінального правопорушення</w:t>
      </w:r>
      <w:r w:rsidR="00FD7E97" w:rsidRPr="000F23E2">
        <w:rPr>
          <w:szCs w:val="28"/>
        </w:rPr>
        <w:t xml:space="preserve"> особи, яка не досягла віку кримінальної відповідальності, до виконання об’єктивної сторони такого складу </w:t>
      </w:r>
      <w:r w:rsidR="00FD7E97" w:rsidRPr="000F23E2">
        <w:rPr>
          <w:color w:val="000000" w:themeColor="text1"/>
          <w:szCs w:val="28"/>
        </w:rPr>
        <w:t>суспільно небезпечного діяння</w:t>
      </w:r>
      <w:r w:rsidR="00FD7E97" w:rsidRPr="000F23E2">
        <w:rPr>
          <w:szCs w:val="28"/>
        </w:rPr>
        <w:t xml:space="preserve">, наприклад, як піратство (ст. 446 КК), слід буде розцінювати як сукупність </w:t>
      </w:r>
      <w:r w:rsidR="00FD7E97" w:rsidRPr="000F23E2">
        <w:rPr>
          <w:color w:val="000000" w:themeColor="text1"/>
          <w:szCs w:val="28"/>
        </w:rPr>
        <w:t>кримінальних правопорушень</w:t>
      </w:r>
      <w:r w:rsidR="00FD7E97" w:rsidRPr="000F23E2">
        <w:rPr>
          <w:szCs w:val="28"/>
        </w:rPr>
        <w:t xml:space="preserve"> (відповідні частини статей 446 та 304 КК). </w:t>
      </w:r>
    </w:p>
    <w:p w:rsidR="00FD7E97" w:rsidRPr="000F23E2" w:rsidRDefault="00FD7E97" w:rsidP="00FD7E97">
      <w:pPr>
        <w:spacing w:after="0" w:line="240" w:lineRule="auto"/>
        <w:ind w:firstLine="709"/>
        <w:jc w:val="both"/>
        <w:rPr>
          <w:color w:val="000000" w:themeColor="text1"/>
          <w:szCs w:val="28"/>
        </w:rPr>
      </w:pPr>
      <w:r w:rsidRPr="000F23E2">
        <w:rPr>
          <w:color w:val="000000" w:themeColor="text1"/>
          <w:szCs w:val="28"/>
        </w:rPr>
        <w:t>Враховуючи зазначене, замість створення нових кримінально-правових заборон, спрямованих на встановлення відповідальності за втягнення дитини в окремі види злочинної чи антигромадської діяльності, на нашу думку, варто було б зосередитися на удосконаленні ознак суспільно небезпечного діяння, передбаченого загальною нормою – ст. 304 КК, із одночасним виключенням із закону про кримінальну відповідальність України відповідних спеціальних норм.</w:t>
      </w:r>
    </w:p>
    <w:p w:rsidR="000E7FD3" w:rsidRPr="000F23E2" w:rsidRDefault="000E7FD3" w:rsidP="00AE0E1C">
      <w:pPr>
        <w:pStyle w:val="rvps2"/>
        <w:spacing w:before="0" w:beforeAutospacing="0" w:after="0" w:afterAutospacing="0"/>
        <w:ind w:firstLine="709"/>
        <w:jc w:val="both"/>
        <w:rPr>
          <w:color w:val="000000" w:themeColor="text1"/>
          <w:sz w:val="28"/>
          <w:szCs w:val="28"/>
        </w:rPr>
      </w:pPr>
      <w:r w:rsidRPr="00CF4AD3">
        <w:rPr>
          <w:b/>
          <w:color w:val="000000" w:themeColor="text1"/>
          <w:sz w:val="28"/>
          <w:szCs w:val="28"/>
        </w:rPr>
        <w:t>3.</w:t>
      </w:r>
      <w:r w:rsidRPr="00CF4AD3">
        <w:rPr>
          <w:color w:val="000000" w:themeColor="text1"/>
          <w:sz w:val="28"/>
          <w:szCs w:val="28"/>
        </w:rPr>
        <w:t xml:space="preserve"> Звертаємо увагу</w:t>
      </w:r>
      <w:r w:rsidR="004B7B7E" w:rsidRPr="00CF4AD3">
        <w:rPr>
          <w:color w:val="000000" w:themeColor="text1"/>
          <w:sz w:val="28"/>
          <w:szCs w:val="28"/>
        </w:rPr>
        <w:t xml:space="preserve"> на те</w:t>
      </w:r>
      <w:r w:rsidRPr="00CF4AD3">
        <w:rPr>
          <w:color w:val="000000" w:themeColor="text1"/>
          <w:sz w:val="28"/>
          <w:szCs w:val="28"/>
        </w:rPr>
        <w:t xml:space="preserve">, що назву ст. 304 КК пропонується викласти у такій редакції: «Втягнення </w:t>
      </w:r>
      <w:r w:rsidRPr="00CF4AD3">
        <w:rPr>
          <w:i/>
          <w:color w:val="000000" w:themeColor="text1"/>
          <w:sz w:val="28"/>
          <w:szCs w:val="28"/>
        </w:rPr>
        <w:t>малолітніх, неповнолітніх</w:t>
      </w:r>
      <w:r w:rsidRPr="00CF4AD3">
        <w:rPr>
          <w:color w:val="000000" w:themeColor="text1"/>
          <w:sz w:val="28"/>
          <w:szCs w:val="28"/>
        </w:rPr>
        <w:t xml:space="preserve"> </w:t>
      </w:r>
      <w:r w:rsidR="0052438B" w:rsidRPr="00CF4AD3">
        <w:rPr>
          <w:color w:val="000000" w:themeColor="text1"/>
          <w:sz w:val="28"/>
          <w:szCs w:val="28"/>
        </w:rPr>
        <w:t xml:space="preserve">осіб </w:t>
      </w:r>
      <w:r w:rsidRPr="00CF4AD3">
        <w:rPr>
          <w:color w:val="000000" w:themeColor="text1"/>
          <w:sz w:val="28"/>
          <w:szCs w:val="28"/>
        </w:rPr>
        <w:t>у злочинну діяльність». При цьому</w:t>
      </w:r>
      <w:r w:rsidR="0052438B" w:rsidRPr="00CF4AD3">
        <w:rPr>
          <w:color w:val="000000" w:themeColor="text1"/>
          <w:sz w:val="28"/>
          <w:szCs w:val="28"/>
        </w:rPr>
        <w:t>,</w:t>
      </w:r>
      <w:r w:rsidRPr="00CF4AD3">
        <w:rPr>
          <w:color w:val="000000" w:themeColor="text1"/>
          <w:sz w:val="28"/>
          <w:szCs w:val="28"/>
        </w:rPr>
        <w:t xml:space="preserve"> у диспозиції ч. 1 вказаної статті КК для позначення потерпілих осіб вживається</w:t>
      </w:r>
      <w:r w:rsidRPr="000F23E2">
        <w:rPr>
          <w:color w:val="000000" w:themeColor="text1"/>
          <w:sz w:val="28"/>
          <w:szCs w:val="28"/>
        </w:rPr>
        <w:t xml:space="preserve"> термін «неповнолітніх», у ч. 2 – «малолітньої особи», а у ч. 3 – «малолітнього або неповнолітнього». Оскільки усталеною у </w:t>
      </w:r>
      <w:r w:rsidRPr="00CF4AD3">
        <w:rPr>
          <w:color w:val="000000" w:themeColor="text1"/>
          <w:sz w:val="28"/>
          <w:szCs w:val="28"/>
        </w:rPr>
        <w:lastRenderedPageBreak/>
        <w:t>кримінальному праві є позиція, що відповідальність за відповідною частиною ст</w:t>
      </w:r>
      <w:r w:rsidR="004B7B7E" w:rsidRPr="00CF4AD3">
        <w:rPr>
          <w:color w:val="000000" w:themeColor="text1"/>
          <w:sz w:val="28"/>
          <w:szCs w:val="28"/>
        </w:rPr>
        <w:t>.</w:t>
      </w:r>
      <w:r w:rsidRPr="00CF4AD3">
        <w:rPr>
          <w:color w:val="000000" w:themeColor="text1"/>
          <w:sz w:val="28"/>
          <w:szCs w:val="28"/>
        </w:rPr>
        <w:t xml:space="preserve"> 304 КК настає у разі втягнення хоча б однієї малолітньої (неповнолітньої) особи, у назві та диспозиції ч. 1 аналізованого складу </w:t>
      </w:r>
      <w:r w:rsidR="0052438B" w:rsidRPr="00CF4AD3">
        <w:rPr>
          <w:color w:val="000000" w:themeColor="text1"/>
          <w:sz w:val="28"/>
          <w:szCs w:val="28"/>
        </w:rPr>
        <w:t>кримінального правопорушення</w:t>
      </w:r>
      <w:r w:rsidRPr="000F23E2">
        <w:rPr>
          <w:color w:val="000000" w:themeColor="text1"/>
          <w:sz w:val="28"/>
          <w:szCs w:val="28"/>
        </w:rPr>
        <w:t xml:space="preserve"> вказівка на </w:t>
      </w:r>
      <w:r w:rsidR="007127E1" w:rsidRPr="000F23E2">
        <w:rPr>
          <w:color w:val="000000" w:themeColor="text1"/>
          <w:sz w:val="28"/>
          <w:szCs w:val="28"/>
        </w:rPr>
        <w:t>потерпілу</w:t>
      </w:r>
      <w:r w:rsidR="00AE0E1C" w:rsidRPr="000F23E2">
        <w:rPr>
          <w:color w:val="000000" w:themeColor="text1"/>
          <w:sz w:val="28"/>
          <w:szCs w:val="28"/>
        </w:rPr>
        <w:t xml:space="preserve"> особу </w:t>
      </w:r>
      <w:r w:rsidRPr="000F23E2">
        <w:rPr>
          <w:color w:val="000000" w:themeColor="text1"/>
          <w:sz w:val="28"/>
          <w:szCs w:val="28"/>
        </w:rPr>
        <w:t>мала би бути уніфікована та викладена в однині.</w:t>
      </w:r>
    </w:p>
    <w:p w:rsidR="00DA70F7" w:rsidRPr="000F23E2" w:rsidRDefault="00DA70F7" w:rsidP="00AE0E1C">
      <w:pPr>
        <w:pStyle w:val="rvps2"/>
        <w:spacing w:before="0" w:beforeAutospacing="0" w:after="0" w:afterAutospacing="0"/>
        <w:ind w:firstLine="709"/>
        <w:jc w:val="both"/>
        <w:rPr>
          <w:color w:val="000000" w:themeColor="text1"/>
          <w:sz w:val="28"/>
          <w:szCs w:val="28"/>
        </w:rPr>
      </w:pPr>
    </w:p>
    <w:p w:rsidR="0052438B" w:rsidRPr="000F23E2" w:rsidRDefault="0052438B" w:rsidP="0052438B">
      <w:pPr>
        <w:spacing w:after="0" w:line="240" w:lineRule="auto"/>
        <w:jc w:val="both"/>
        <w:rPr>
          <w:szCs w:val="28"/>
        </w:rPr>
      </w:pPr>
    </w:p>
    <w:p w:rsidR="000E7FD3" w:rsidRPr="000F23E2" w:rsidRDefault="000E7FD3" w:rsidP="000E7FD3">
      <w:pPr>
        <w:spacing w:after="0" w:line="240" w:lineRule="auto"/>
        <w:ind w:firstLine="709"/>
        <w:jc w:val="both"/>
        <w:rPr>
          <w:szCs w:val="28"/>
        </w:rPr>
      </w:pPr>
      <w:r w:rsidRPr="000F23E2">
        <w:rPr>
          <w:szCs w:val="28"/>
        </w:rPr>
        <w:t xml:space="preserve">Керівник Головного управління </w:t>
      </w:r>
      <w:r w:rsidRPr="000F23E2">
        <w:rPr>
          <w:szCs w:val="28"/>
        </w:rPr>
        <w:tab/>
      </w:r>
      <w:r w:rsidRPr="000F23E2">
        <w:rPr>
          <w:szCs w:val="28"/>
        </w:rPr>
        <w:tab/>
      </w:r>
      <w:r w:rsidRPr="000F23E2">
        <w:rPr>
          <w:szCs w:val="28"/>
        </w:rPr>
        <w:tab/>
      </w:r>
      <w:r w:rsidRPr="000F23E2">
        <w:rPr>
          <w:szCs w:val="28"/>
        </w:rPr>
        <w:tab/>
        <w:t xml:space="preserve">            С. Тихонюк</w:t>
      </w:r>
    </w:p>
    <w:p w:rsidR="000E7FD3" w:rsidRPr="000F23E2" w:rsidRDefault="000E7FD3" w:rsidP="000E7FD3">
      <w:pPr>
        <w:spacing w:after="0" w:line="240" w:lineRule="auto"/>
        <w:ind w:firstLine="709"/>
        <w:jc w:val="both"/>
        <w:rPr>
          <w:b/>
          <w:szCs w:val="28"/>
        </w:rPr>
      </w:pPr>
    </w:p>
    <w:p w:rsidR="000E7FD3" w:rsidRPr="000F23E2" w:rsidRDefault="000E7FD3" w:rsidP="000E7FD3">
      <w:pPr>
        <w:widowControl w:val="0"/>
        <w:spacing w:after="0" w:line="240" w:lineRule="auto"/>
        <w:ind w:firstLine="709"/>
        <w:jc w:val="both"/>
        <w:rPr>
          <w:szCs w:val="28"/>
        </w:rPr>
      </w:pPr>
    </w:p>
    <w:p w:rsidR="005204CF" w:rsidRPr="000F23E2" w:rsidRDefault="000E7FD3" w:rsidP="0048786F">
      <w:pPr>
        <w:widowControl w:val="0"/>
        <w:spacing w:after="0" w:line="240" w:lineRule="auto"/>
        <w:ind w:firstLine="709"/>
        <w:jc w:val="both"/>
        <w:rPr>
          <w:sz w:val="20"/>
          <w:szCs w:val="20"/>
        </w:rPr>
      </w:pPr>
      <w:r w:rsidRPr="000F23E2">
        <w:rPr>
          <w:sz w:val="20"/>
          <w:szCs w:val="20"/>
        </w:rPr>
        <w:t xml:space="preserve">Вик.: </w:t>
      </w:r>
      <w:r w:rsidRPr="000F23E2">
        <w:rPr>
          <w:sz w:val="20"/>
          <w:szCs w:val="20"/>
        </w:rPr>
        <w:tab/>
        <w:t>В. Попович, Є. Корнієнко</w:t>
      </w:r>
    </w:p>
    <w:sectPr w:rsidR="005204CF" w:rsidRPr="000F23E2" w:rsidSect="0048006F">
      <w:headerReference w:type="default" r:id="rId7"/>
      <w:footerReference w:type="even" r:id="rId8"/>
      <w:headerReference w:type="first" r:id="rId9"/>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4B2E" w:rsidRDefault="000C4B2E" w:rsidP="000E7FD3">
      <w:pPr>
        <w:spacing w:after="0" w:line="240" w:lineRule="auto"/>
      </w:pPr>
      <w:r>
        <w:separator/>
      </w:r>
    </w:p>
  </w:endnote>
  <w:endnote w:type="continuationSeparator" w:id="0">
    <w:p w:rsidR="000C4B2E" w:rsidRDefault="000C4B2E" w:rsidP="000E7F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ntiqua">
    <w:altName w:val="Bahnschrift Light"/>
    <w:charset w:val="00"/>
    <w:family w:val="swiss"/>
    <w:pitch w:val="variable"/>
    <w:sig w:usb0="00000203" w:usb1="00000000" w:usb2="00000000" w:usb3="00000000" w:csb0="00000005" w:csb1="00000000"/>
  </w:font>
  <w:font w:name="Segoe UI">
    <w:altName w:val="Century Gothic"/>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006F" w:rsidRDefault="00F9581A" w:rsidP="0048006F">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2</w:t>
    </w:r>
    <w:r>
      <w:rPr>
        <w:rStyle w:val="a9"/>
      </w:rPr>
      <w:fldChar w:fldCharType="end"/>
    </w:r>
  </w:p>
  <w:p w:rsidR="0048006F" w:rsidRDefault="000C4B2E" w:rsidP="0048006F">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4B2E" w:rsidRDefault="000C4B2E" w:rsidP="000E7FD3">
      <w:pPr>
        <w:spacing w:after="0" w:line="240" w:lineRule="auto"/>
      </w:pPr>
      <w:r>
        <w:separator/>
      </w:r>
    </w:p>
  </w:footnote>
  <w:footnote w:type="continuationSeparator" w:id="0">
    <w:p w:rsidR="000C4B2E" w:rsidRDefault="000C4B2E" w:rsidP="000E7FD3">
      <w:pPr>
        <w:spacing w:after="0" w:line="240" w:lineRule="auto"/>
      </w:pPr>
      <w:r>
        <w:continuationSeparator/>
      </w:r>
    </w:p>
  </w:footnote>
  <w:footnote w:id="1">
    <w:p w:rsidR="00817C02" w:rsidRPr="00EF3D5A" w:rsidRDefault="00817C02" w:rsidP="00817C02">
      <w:pPr>
        <w:pStyle w:val="aa"/>
        <w:jc w:val="both"/>
        <w:rPr>
          <w:lang w:val="uk-UA"/>
        </w:rPr>
      </w:pPr>
      <w:r>
        <w:rPr>
          <w:rStyle w:val="ac"/>
        </w:rPr>
        <w:footnoteRef/>
      </w:r>
      <w:r w:rsidRPr="008B6926">
        <w:rPr>
          <w:lang w:val="uk-UA"/>
        </w:rPr>
        <w:t xml:space="preserve"> </w:t>
      </w:r>
      <w:r>
        <w:rPr>
          <w:lang w:val="uk-UA"/>
        </w:rPr>
        <w:t xml:space="preserve">Аналогічна пропозиція щодо визнання </w:t>
      </w:r>
      <w:r w:rsidRPr="00EF3D5A">
        <w:rPr>
          <w:lang w:val="uk-UA"/>
        </w:rPr>
        <w:t xml:space="preserve">в якості кваліфікуючих ознак </w:t>
      </w:r>
      <w:r w:rsidRPr="00C053FC">
        <w:rPr>
          <w:lang w:val="uk-UA"/>
        </w:rPr>
        <w:t>вчинення відповідних дій щодо малолітнього або неповнолітнього</w:t>
      </w:r>
      <w:r>
        <w:rPr>
          <w:lang w:val="uk-UA"/>
        </w:rPr>
        <w:t xml:space="preserve"> знайшла своє втілення й у поданому законопроекті (</w:t>
      </w:r>
      <w:r w:rsidRPr="00C053FC">
        <w:rPr>
          <w:lang w:val="uk-UA"/>
        </w:rPr>
        <w:t>ч. 3 ст. 447 КК у</w:t>
      </w:r>
      <w:r w:rsidR="00194623">
        <w:rPr>
          <w:lang w:val="uk-UA"/>
        </w:rPr>
        <w:t> </w:t>
      </w:r>
      <w:r w:rsidRPr="00C053FC">
        <w:rPr>
          <w:lang w:val="uk-UA"/>
        </w:rPr>
        <w:t>редакції проекту)</w:t>
      </w:r>
      <w:r>
        <w:rPr>
          <w:lang w:val="uk-U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006F" w:rsidRDefault="00F9581A" w:rsidP="0048006F">
    <w:pPr>
      <w:pStyle w:val="a5"/>
      <w:jc w:val="right"/>
    </w:pPr>
    <w:r>
      <w:fldChar w:fldCharType="begin"/>
    </w:r>
    <w:r>
      <w:instrText>PAGE   \* MERGEFORMAT</w:instrText>
    </w:r>
    <w:r>
      <w:fldChar w:fldCharType="separate"/>
    </w:r>
    <w:r w:rsidR="00F437F6">
      <w:rPr>
        <w:noProof/>
      </w:rPr>
      <w:t>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006F" w:rsidRPr="009B655C" w:rsidRDefault="00F9581A" w:rsidP="0048006F">
    <w:pPr>
      <w:pStyle w:val="a5"/>
      <w:jc w:val="right"/>
      <w:rPr>
        <w:sz w:val="20"/>
        <w:szCs w:val="20"/>
      </w:rPr>
    </w:pPr>
    <w:r w:rsidRPr="009B655C">
      <w:rPr>
        <w:sz w:val="20"/>
        <w:szCs w:val="20"/>
      </w:rPr>
      <w:t xml:space="preserve">До </w:t>
    </w:r>
    <w:r>
      <w:rPr>
        <w:sz w:val="20"/>
        <w:szCs w:val="20"/>
      </w:rPr>
      <w:t xml:space="preserve">реєстр. № </w:t>
    </w:r>
    <w:r w:rsidR="000E7FD3">
      <w:rPr>
        <w:sz w:val="20"/>
        <w:szCs w:val="20"/>
      </w:rPr>
      <w:t>3627</w:t>
    </w:r>
    <w:r w:rsidRPr="009B655C">
      <w:rPr>
        <w:sz w:val="20"/>
        <w:szCs w:val="20"/>
        <w:lang w:val="ru-RU"/>
      </w:rPr>
      <w:t xml:space="preserve"> </w:t>
    </w:r>
    <w:r>
      <w:rPr>
        <w:sz w:val="20"/>
        <w:szCs w:val="20"/>
      </w:rPr>
      <w:t>від 10</w:t>
    </w:r>
    <w:r w:rsidRPr="009B655C">
      <w:rPr>
        <w:sz w:val="20"/>
        <w:szCs w:val="20"/>
      </w:rPr>
      <w:t>.</w:t>
    </w:r>
    <w:r>
      <w:rPr>
        <w:sz w:val="20"/>
        <w:szCs w:val="20"/>
      </w:rPr>
      <w:t>0</w:t>
    </w:r>
    <w:r w:rsidR="000E7FD3">
      <w:rPr>
        <w:sz w:val="20"/>
        <w:szCs w:val="20"/>
      </w:rPr>
      <w:t>6</w:t>
    </w:r>
    <w:r w:rsidRPr="009B655C">
      <w:rPr>
        <w:sz w:val="20"/>
        <w:szCs w:val="20"/>
      </w:rPr>
      <w:t>.20</w:t>
    </w:r>
    <w:r>
      <w:rPr>
        <w:sz w:val="20"/>
        <w:szCs w:val="20"/>
      </w:rPr>
      <w:t>20</w:t>
    </w:r>
  </w:p>
  <w:p w:rsidR="0048006F" w:rsidRPr="009B655C" w:rsidRDefault="00F9581A" w:rsidP="00EF590F">
    <w:pPr>
      <w:pStyle w:val="a5"/>
      <w:jc w:val="right"/>
      <w:rPr>
        <w:sz w:val="20"/>
        <w:szCs w:val="20"/>
      </w:rPr>
    </w:pPr>
    <w:r>
      <w:rPr>
        <w:sz w:val="20"/>
        <w:szCs w:val="20"/>
      </w:rPr>
      <w:t>Кабінет Міністрів України</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7FD3"/>
    <w:rsid w:val="000C4B2E"/>
    <w:rsid w:val="000E7FD3"/>
    <w:rsid w:val="000F23E2"/>
    <w:rsid w:val="00161548"/>
    <w:rsid w:val="00194623"/>
    <w:rsid w:val="001B0DD2"/>
    <w:rsid w:val="001F2D16"/>
    <w:rsid w:val="003E7BFD"/>
    <w:rsid w:val="00427F42"/>
    <w:rsid w:val="0048786F"/>
    <w:rsid w:val="004B7B7E"/>
    <w:rsid w:val="005143B1"/>
    <w:rsid w:val="005204CF"/>
    <w:rsid w:val="0052438B"/>
    <w:rsid w:val="005332AB"/>
    <w:rsid w:val="006153E2"/>
    <w:rsid w:val="006561BE"/>
    <w:rsid w:val="007127E1"/>
    <w:rsid w:val="007252EA"/>
    <w:rsid w:val="0077622B"/>
    <w:rsid w:val="0078618F"/>
    <w:rsid w:val="00817C02"/>
    <w:rsid w:val="008B6926"/>
    <w:rsid w:val="008F6E7F"/>
    <w:rsid w:val="009A55C6"/>
    <w:rsid w:val="00A25F59"/>
    <w:rsid w:val="00AE0E1C"/>
    <w:rsid w:val="00C17B8C"/>
    <w:rsid w:val="00CF4AD3"/>
    <w:rsid w:val="00D654F9"/>
    <w:rsid w:val="00DA70F7"/>
    <w:rsid w:val="00E77AB7"/>
    <w:rsid w:val="00EA0B67"/>
    <w:rsid w:val="00F11221"/>
    <w:rsid w:val="00F437F6"/>
    <w:rsid w:val="00F45D07"/>
    <w:rsid w:val="00F60759"/>
    <w:rsid w:val="00F9581A"/>
    <w:rsid w:val="00FD7E9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D7E97"/>
    <w:rPr>
      <w:rFonts w:eastAsia="Calibri" w:cs="Times New Roman"/>
    </w:rPr>
  </w:style>
  <w:style w:type="paragraph" w:styleId="3">
    <w:name w:val="heading 3"/>
    <w:basedOn w:val="a"/>
    <w:next w:val="a"/>
    <w:link w:val="30"/>
    <w:uiPriority w:val="9"/>
    <w:semiHidden/>
    <w:unhideWhenUsed/>
    <w:qFormat/>
    <w:rsid w:val="000E7FD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7">
    <w:name w:val="heading 7"/>
    <w:basedOn w:val="a"/>
    <w:next w:val="a"/>
    <w:link w:val="70"/>
    <w:qFormat/>
    <w:rsid w:val="000E7FD3"/>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0E7FD3"/>
    <w:rPr>
      <w:rFonts w:ascii="Arial" w:eastAsia="Times New Roman" w:hAnsi="Arial" w:cs="Arial"/>
      <w:b/>
      <w:bCs/>
      <w:szCs w:val="28"/>
      <w:lang w:eastAsia="ru-RU"/>
    </w:rPr>
  </w:style>
  <w:style w:type="paragraph" w:styleId="a3">
    <w:name w:val="Body Text"/>
    <w:basedOn w:val="a"/>
    <w:link w:val="a4"/>
    <w:unhideWhenUsed/>
    <w:rsid w:val="000E7FD3"/>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basedOn w:val="a0"/>
    <w:link w:val="a3"/>
    <w:rsid w:val="000E7FD3"/>
    <w:rPr>
      <w:rFonts w:ascii="Arial" w:eastAsia="Times New Roman" w:hAnsi="Arial" w:cs="Arial"/>
      <w:szCs w:val="28"/>
      <w:lang w:eastAsia="ru-RU"/>
    </w:rPr>
  </w:style>
  <w:style w:type="paragraph" w:styleId="a5">
    <w:name w:val="header"/>
    <w:basedOn w:val="a"/>
    <w:link w:val="a6"/>
    <w:uiPriority w:val="99"/>
    <w:unhideWhenUsed/>
    <w:rsid w:val="000E7FD3"/>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basedOn w:val="a0"/>
    <w:link w:val="a5"/>
    <w:uiPriority w:val="99"/>
    <w:rsid w:val="000E7FD3"/>
    <w:rPr>
      <w:rFonts w:eastAsia="SimSun" w:cs="Times New Roman"/>
      <w:sz w:val="24"/>
      <w:szCs w:val="24"/>
      <w:lang w:eastAsia="zh-CN"/>
    </w:rPr>
  </w:style>
  <w:style w:type="paragraph" w:styleId="a7">
    <w:name w:val="footer"/>
    <w:basedOn w:val="a"/>
    <w:link w:val="a8"/>
    <w:uiPriority w:val="99"/>
    <w:unhideWhenUsed/>
    <w:rsid w:val="000E7FD3"/>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basedOn w:val="a0"/>
    <w:link w:val="a7"/>
    <w:uiPriority w:val="99"/>
    <w:rsid w:val="000E7FD3"/>
    <w:rPr>
      <w:rFonts w:eastAsia="SimSun" w:cs="Times New Roman"/>
      <w:sz w:val="24"/>
      <w:szCs w:val="24"/>
      <w:lang w:eastAsia="zh-CN"/>
    </w:rPr>
  </w:style>
  <w:style w:type="character" w:styleId="a9">
    <w:name w:val="page number"/>
    <w:rsid w:val="000E7FD3"/>
  </w:style>
  <w:style w:type="paragraph" w:customStyle="1" w:styleId="rvps2">
    <w:name w:val="rvps2"/>
    <w:basedOn w:val="a"/>
    <w:rsid w:val="000E7FD3"/>
    <w:pPr>
      <w:spacing w:before="100" w:beforeAutospacing="1" w:after="100" w:afterAutospacing="1" w:line="240" w:lineRule="auto"/>
    </w:pPr>
    <w:rPr>
      <w:rFonts w:eastAsia="Times New Roman"/>
      <w:sz w:val="24"/>
      <w:szCs w:val="24"/>
      <w:lang w:eastAsia="uk-UA"/>
    </w:rPr>
  </w:style>
  <w:style w:type="paragraph" w:styleId="aa">
    <w:name w:val="footnote text"/>
    <w:aliases w:val="Текст сноски Знак1,Знак1 Знак Знак,Знак1 Знак1,Текст сноски Знак Знак,Знак1 Знак Знак Знак Знак Знак,Знак1 Знак1 Знак Знак Знак,Знак1 Знак Знак1 Знак Знак,Знак1 Знак2 Знак Знак,Знак1 Знак Знак Знак1 Знак,Знак1 Знак1 Знак1 Знак"/>
    <w:basedOn w:val="a"/>
    <w:link w:val="ab"/>
    <w:rsid w:val="000E7FD3"/>
    <w:pPr>
      <w:spacing w:after="0" w:line="240" w:lineRule="auto"/>
    </w:pPr>
    <w:rPr>
      <w:rFonts w:eastAsia="Times New Roman"/>
      <w:sz w:val="20"/>
      <w:szCs w:val="20"/>
      <w:lang w:val="ru-RU" w:eastAsia="ru-RU"/>
    </w:rPr>
  </w:style>
  <w:style w:type="character" w:customStyle="1" w:styleId="ab">
    <w:name w:val="Текст виноски Знак"/>
    <w:aliases w:val="Текст сноски Знак1 Знак,Знак1 Знак Знак Знак,Знак1 Знак1 Знак,Текст сноски Знак Знак Знак,Знак1 Знак Знак Знак Знак Знак Знак,Знак1 Знак1 Знак Знак Знак Знак,Знак1 Знак Знак1 Знак Знак Знак,Знак1 Знак2 Знак Знак Знак"/>
    <w:basedOn w:val="a0"/>
    <w:link w:val="aa"/>
    <w:rsid w:val="000E7FD3"/>
    <w:rPr>
      <w:rFonts w:eastAsia="Times New Roman" w:cs="Times New Roman"/>
      <w:sz w:val="20"/>
      <w:szCs w:val="20"/>
      <w:lang w:val="ru-RU" w:eastAsia="ru-RU"/>
    </w:rPr>
  </w:style>
  <w:style w:type="character" w:styleId="ac">
    <w:name w:val="footnote reference"/>
    <w:basedOn w:val="a0"/>
    <w:uiPriority w:val="99"/>
    <w:semiHidden/>
    <w:unhideWhenUsed/>
    <w:rsid w:val="000E7FD3"/>
    <w:rPr>
      <w:vertAlign w:val="superscript"/>
    </w:rPr>
  </w:style>
  <w:style w:type="character" w:customStyle="1" w:styleId="30">
    <w:name w:val="Заголовок 3 Знак"/>
    <w:basedOn w:val="a0"/>
    <w:link w:val="3"/>
    <w:uiPriority w:val="9"/>
    <w:semiHidden/>
    <w:rsid w:val="000E7FD3"/>
    <w:rPr>
      <w:rFonts w:asciiTheme="majorHAnsi" w:eastAsiaTheme="majorEastAsia" w:hAnsiTheme="majorHAnsi" w:cstheme="majorBidi"/>
      <w:color w:val="1F4D78" w:themeColor="accent1" w:themeShade="7F"/>
      <w:sz w:val="24"/>
      <w:szCs w:val="24"/>
    </w:rPr>
  </w:style>
  <w:style w:type="character" w:customStyle="1" w:styleId="rvts9">
    <w:name w:val="rvts9"/>
    <w:basedOn w:val="a0"/>
    <w:rsid w:val="005143B1"/>
  </w:style>
  <w:style w:type="paragraph" w:styleId="ad">
    <w:name w:val="List Paragraph"/>
    <w:basedOn w:val="a"/>
    <w:uiPriority w:val="34"/>
    <w:qFormat/>
    <w:rsid w:val="005143B1"/>
    <w:pPr>
      <w:ind w:left="720"/>
      <w:contextualSpacing/>
    </w:pPr>
  </w:style>
  <w:style w:type="paragraph" w:customStyle="1" w:styleId="ae">
    <w:name w:val="Нормальний текст"/>
    <w:basedOn w:val="a"/>
    <w:rsid w:val="0052438B"/>
    <w:pPr>
      <w:spacing w:before="120" w:after="0" w:line="240" w:lineRule="auto"/>
      <w:ind w:firstLine="567"/>
      <w:jc w:val="both"/>
    </w:pPr>
    <w:rPr>
      <w:rFonts w:ascii="Antiqua" w:eastAsia="Times New Roman" w:hAnsi="Antiqua"/>
      <w:sz w:val="26"/>
      <w:szCs w:val="20"/>
      <w:lang w:eastAsia="ru-RU"/>
    </w:rPr>
  </w:style>
  <w:style w:type="paragraph" w:styleId="af">
    <w:name w:val="Balloon Text"/>
    <w:basedOn w:val="a"/>
    <w:link w:val="af0"/>
    <w:uiPriority w:val="99"/>
    <w:semiHidden/>
    <w:unhideWhenUsed/>
    <w:rsid w:val="000F23E2"/>
    <w:pPr>
      <w:spacing w:after="0" w:line="240" w:lineRule="auto"/>
    </w:pPr>
    <w:rPr>
      <w:rFonts w:ascii="Segoe UI" w:hAnsi="Segoe UI" w:cs="Segoe UI"/>
      <w:sz w:val="18"/>
      <w:szCs w:val="18"/>
    </w:rPr>
  </w:style>
  <w:style w:type="character" w:customStyle="1" w:styleId="af0">
    <w:name w:val="Текст у виносці Знак"/>
    <w:basedOn w:val="a0"/>
    <w:link w:val="af"/>
    <w:uiPriority w:val="99"/>
    <w:semiHidden/>
    <w:rsid w:val="000F23E2"/>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2994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CC6522-4E60-4BCC-B8B5-3AD740E325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5414</Words>
  <Characters>3086</Characters>
  <Application>Microsoft Office Word</Application>
  <DocSecurity>0</DocSecurity>
  <Lines>25</Lines>
  <Paragraphs>16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2020-10-12T13:50:00Z</dcterms:created>
  <dcterms:modified xsi:type="dcterms:W3CDTF">2020-10-12T13:50:00Z</dcterms:modified>
</cp:coreProperties>
</file>