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44B" w:rsidRDefault="00F2411E">
      <w:pPr>
        <w:spacing w:after="0"/>
        <w:ind w:right="-73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ПОРІВНЯЛЬНА ТАБЛИЦЯ</w:t>
      </w:r>
    </w:p>
    <w:p w:rsidR="00A0744B" w:rsidRDefault="00F2411E">
      <w:pPr>
        <w:spacing w:after="0" w:line="240" w:lineRule="auto"/>
        <w:ind w:right="-739"/>
        <w:jc w:val="center"/>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t xml:space="preserve">до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w:t>
      </w:r>
    </w:p>
    <w:p w:rsidR="00A0744B" w:rsidRDefault="00A0744B">
      <w:pPr>
        <w:spacing w:after="0" w:line="240" w:lineRule="auto"/>
        <w:rPr>
          <w:rFonts w:ascii="Times New Roman" w:eastAsia="Times New Roman" w:hAnsi="Times New Roman" w:cs="Times New Roman"/>
          <w:b/>
          <w:sz w:val="28"/>
          <w:szCs w:val="28"/>
        </w:rPr>
      </w:pPr>
    </w:p>
    <w:tbl>
      <w:tblPr>
        <w:tblStyle w:val="af0"/>
        <w:tblW w:w="151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9"/>
        <w:gridCol w:w="5386"/>
        <w:gridCol w:w="4248"/>
      </w:tblGrid>
      <w:tr w:rsidR="00A0744B">
        <w:trPr>
          <w:trHeight w:val="520"/>
        </w:trPr>
        <w:tc>
          <w:tcPr>
            <w:tcW w:w="5499" w:type="dxa"/>
          </w:tcPr>
          <w:p w:rsidR="00A0744B" w:rsidRDefault="00F2411E">
            <w:pPr>
              <w:spacing w:before="60" w:after="60" w:line="21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положення акта законодавства</w:t>
            </w:r>
          </w:p>
        </w:tc>
        <w:tc>
          <w:tcPr>
            <w:tcW w:w="5386" w:type="dxa"/>
          </w:tcPr>
          <w:p w:rsidR="00A0744B" w:rsidRDefault="00F2411E">
            <w:pPr>
              <w:spacing w:before="60" w:after="60" w:line="21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Зміст відповідного положення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акта</w:t>
            </w:r>
          </w:p>
        </w:tc>
        <w:tc>
          <w:tcPr>
            <w:tcW w:w="4248" w:type="dxa"/>
          </w:tcPr>
          <w:p w:rsidR="00A0744B" w:rsidRDefault="00F2411E">
            <w:pPr>
              <w:spacing w:before="60" w:after="60" w:line="21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Пояснення змін</w:t>
            </w:r>
          </w:p>
        </w:tc>
      </w:tr>
      <w:tr w:rsidR="00A0744B">
        <w:trPr>
          <w:trHeight w:val="106"/>
        </w:trPr>
        <w:tc>
          <w:tcPr>
            <w:tcW w:w="15133" w:type="dxa"/>
            <w:gridSpan w:val="3"/>
          </w:tcPr>
          <w:p w:rsidR="00A0744B" w:rsidRDefault="00F2411E">
            <w:pPr>
              <w:spacing w:before="60" w:after="60" w:line="21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альтернативні джерела енергії»</w:t>
            </w:r>
          </w:p>
        </w:tc>
      </w:tr>
      <w:tr w:rsidR="00A0744B">
        <w:trPr>
          <w:trHeight w:val="2239"/>
        </w:trPr>
        <w:tc>
          <w:tcPr>
            <w:tcW w:w="5499" w:type="dxa"/>
            <w:tcBorders>
              <w:top w:val="single" w:sz="4" w:space="0" w:color="000000"/>
            </w:tcBorders>
          </w:tcPr>
          <w:p w:rsidR="00A0744B" w:rsidRDefault="00F2411E">
            <w:pPr>
              <w:spacing w:after="60" w:line="216"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9</w:t>
            </w:r>
            <w:r w:rsidRPr="00E80CD5">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Стимулювання виробництва електричної енергії з альтернативних джерел енергії </w:t>
            </w:r>
          </w:p>
          <w:p w:rsidR="00A0744B" w:rsidRDefault="00A0744B">
            <w:pPr>
              <w:spacing w:after="60" w:line="216" w:lineRule="auto"/>
              <w:ind w:firstLine="459"/>
              <w:jc w:val="both"/>
              <w:rPr>
                <w:rFonts w:ascii="Times New Roman" w:eastAsia="Times New Roman" w:hAnsi="Times New Roman" w:cs="Times New Roman"/>
                <w:b/>
                <w:sz w:val="28"/>
                <w:szCs w:val="28"/>
              </w:rPr>
            </w:pPr>
          </w:p>
          <w:p w:rsidR="00A0744B" w:rsidRDefault="00F2411E">
            <w:pPr>
              <w:spacing w:after="60" w:line="216"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генеруючих установках приватних домогосподарств, споживачів, у тому числі енергетичних кооперативів,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w:t>
            </w:r>
          </w:p>
          <w:p w:rsidR="00A0744B" w:rsidRDefault="00A0744B">
            <w:pPr>
              <w:spacing w:after="60" w:line="216" w:lineRule="auto"/>
              <w:ind w:firstLine="459"/>
              <w:jc w:val="both"/>
              <w:rPr>
                <w:rFonts w:ascii="Times New Roman" w:eastAsia="Times New Roman" w:hAnsi="Times New Roman" w:cs="Times New Roman"/>
                <w:sz w:val="28"/>
                <w:szCs w:val="28"/>
              </w:rPr>
            </w:pPr>
          </w:p>
          <w:p w:rsidR="00A0744B" w:rsidRDefault="00A0744B">
            <w:pPr>
              <w:spacing w:after="60" w:line="216" w:lineRule="auto"/>
              <w:ind w:firstLine="459"/>
              <w:jc w:val="both"/>
              <w:rPr>
                <w:rFonts w:ascii="Times New Roman" w:eastAsia="Times New Roman" w:hAnsi="Times New Roman" w:cs="Times New Roman"/>
                <w:sz w:val="28"/>
                <w:szCs w:val="28"/>
              </w:rPr>
            </w:pPr>
          </w:p>
          <w:p w:rsidR="00A0744B" w:rsidRDefault="00A0744B">
            <w:pPr>
              <w:spacing w:after="60" w:line="216" w:lineRule="auto"/>
              <w:ind w:firstLine="459"/>
              <w:jc w:val="both"/>
              <w:rPr>
                <w:rFonts w:ascii="Times New Roman" w:eastAsia="Times New Roman" w:hAnsi="Times New Roman" w:cs="Times New Roman"/>
                <w:sz w:val="28"/>
                <w:szCs w:val="28"/>
              </w:rPr>
            </w:pPr>
          </w:p>
          <w:p w:rsidR="00A0744B" w:rsidRDefault="00A0744B">
            <w:pPr>
              <w:spacing w:after="60" w:line="216" w:lineRule="auto"/>
              <w:ind w:firstLine="459"/>
              <w:jc w:val="both"/>
              <w:rPr>
                <w:rFonts w:ascii="Times New Roman" w:eastAsia="Times New Roman" w:hAnsi="Times New Roman" w:cs="Times New Roman"/>
                <w:sz w:val="28"/>
                <w:szCs w:val="28"/>
              </w:rPr>
            </w:pPr>
          </w:p>
          <w:p w:rsidR="00A0744B" w:rsidRDefault="00A0744B">
            <w:pPr>
              <w:spacing w:after="60" w:line="216" w:lineRule="auto"/>
              <w:ind w:firstLine="459"/>
              <w:jc w:val="both"/>
              <w:rPr>
                <w:rFonts w:ascii="Times New Roman" w:eastAsia="Times New Roman" w:hAnsi="Times New Roman" w:cs="Times New Roman"/>
                <w:sz w:val="28"/>
                <w:szCs w:val="28"/>
              </w:rPr>
            </w:pPr>
          </w:p>
          <w:p w:rsidR="00A0744B" w:rsidRDefault="00A0744B">
            <w:pPr>
              <w:spacing w:after="60" w:line="216" w:lineRule="auto"/>
              <w:ind w:firstLine="459"/>
              <w:jc w:val="both"/>
              <w:rPr>
                <w:rFonts w:ascii="Times New Roman" w:eastAsia="Times New Roman" w:hAnsi="Times New Roman" w:cs="Times New Roman"/>
                <w:sz w:val="28"/>
                <w:szCs w:val="28"/>
              </w:rPr>
            </w:pPr>
          </w:p>
          <w:p w:rsidR="00E250AB" w:rsidRDefault="00E250AB">
            <w:pPr>
              <w:spacing w:after="60" w:line="216" w:lineRule="auto"/>
              <w:ind w:firstLine="459"/>
              <w:jc w:val="both"/>
              <w:rPr>
                <w:rFonts w:ascii="Times New Roman" w:eastAsia="Times New Roman" w:hAnsi="Times New Roman" w:cs="Times New Roman"/>
                <w:sz w:val="28"/>
                <w:szCs w:val="28"/>
              </w:rPr>
            </w:pPr>
          </w:p>
          <w:p w:rsidR="00A0744B" w:rsidRDefault="00F2411E">
            <w:pPr>
              <w:spacing w:after="60" w:line="216"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sz w:val="28"/>
                <w:szCs w:val="28"/>
              </w:rPr>
              <w:t xml:space="preserve"> </w:t>
            </w:r>
          </w:p>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"Зелений" тариф на електричну енергію, вироблену генеруючими установками приватних домогосподарств, споживачів, у тому числі енергетичних кооперативів, встановлюється єдиним за кожним видом альтернативного джерела енергії та для комбінованих </w:t>
            </w:r>
            <w:proofErr w:type="spellStart"/>
            <w:r>
              <w:rPr>
                <w:rFonts w:ascii="Times New Roman" w:eastAsia="Times New Roman" w:hAnsi="Times New Roman" w:cs="Times New Roman"/>
                <w:sz w:val="28"/>
                <w:szCs w:val="28"/>
              </w:rPr>
              <w:t>вітро-сонячних</w:t>
            </w:r>
            <w:proofErr w:type="spellEnd"/>
            <w:r>
              <w:rPr>
                <w:rFonts w:ascii="Times New Roman" w:eastAsia="Times New Roman" w:hAnsi="Times New Roman" w:cs="Times New Roman"/>
                <w:sz w:val="28"/>
                <w:szCs w:val="28"/>
              </w:rPr>
              <w:t xml:space="preserve"> генеруючих систем.</w:t>
            </w:r>
          </w:p>
        </w:tc>
        <w:tc>
          <w:tcPr>
            <w:tcW w:w="5386" w:type="dxa"/>
            <w:tcBorders>
              <w:top w:val="single" w:sz="4" w:space="0" w:color="000000"/>
            </w:tcBorders>
          </w:tcPr>
          <w:p w:rsidR="00A0744B" w:rsidRDefault="00F2411E">
            <w:pPr>
              <w:spacing w:after="60" w:line="216"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9</w:t>
            </w:r>
            <w:r w:rsidRPr="00E80CD5">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Стимулювання виробництва електричної енергії з альтернативних джерел енергії </w:t>
            </w:r>
          </w:p>
          <w:p w:rsidR="00A0744B" w:rsidRDefault="00A0744B">
            <w:pPr>
              <w:spacing w:after="60" w:line="216" w:lineRule="auto"/>
              <w:ind w:firstLine="459"/>
              <w:jc w:val="both"/>
              <w:rPr>
                <w:rFonts w:ascii="Times New Roman" w:eastAsia="Times New Roman" w:hAnsi="Times New Roman" w:cs="Times New Roman"/>
                <w:b/>
                <w:sz w:val="28"/>
                <w:szCs w:val="28"/>
              </w:rPr>
            </w:pPr>
          </w:p>
          <w:p w:rsidR="00A0744B" w:rsidRDefault="00F2411E">
            <w:pPr>
              <w:spacing w:after="60" w:line="216"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генеруючих установках приватних домогосподарств, споживачів, у тому числі енергетичних кооперативів, з альтернативних джерел енергії (крім доменного та коксівного газів, а з використанням гідроенергії - вироблену лише мікро-, міні- та малими гідроелектростанціями). </w:t>
            </w:r>
            <w:r>
              <w:rPr>
                <w:rFonts w:ascii="Times New Roman" w:eastAsia="Times New Roman" w:hAnsi="Times New Roman" w:cs="Times New Roman"/>
                <w:b/>
                <w:sz w:val="28"/>
                <w:szCs w:val="28"/>
              </w:rPr>
              <w:t xml:space="preserve">Встановлення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зелених</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тарифів, передбачених цією статтею, здійснюється Національною комісією, що здійснює державне регулювання у сферах енергетики та комунальних послуг, з урахуванням особливостей, визначених статтею 9</w:t>
            </w:r>
            <w:r w:rsidRPr="00E80CD5">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lastRenderedPageBreak/>
              <w:t>цього Закону.</w:t>
            </w:r>
          </w:p>
          <w:p w:rsidR="00A0744B" w:rsidRDefault="00F2411E">
            <w:pPr>
              <w:spacing w:after="60" w:line="216" w:lineRule="auto"/>
              <w:ind w:firstLine="45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p>
          <w:p w:rsidR="00A0744B" w:rsidRDefault="00F2411E">
            <w:pPr>
              <w:pBdr>
                <w:top w:val="nil"/>
                <w:left w:val="nil"/>
                <w:bottom w:val="nil"/>
                <w:right w:val="nil"/>
                <w:between w:val="nil"/>
              </w:pBdr>
              <w:tabs>
                <w:tab w:val="left" w:pos="426"/>
              </w:tabs>
              <w:spacing w:after="60" w:line="216"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"Зелений" тариф встановлюється для кожного суб’єкта господарювання, який виробляє електричну енергію з альтернативних джерел енергії, за кожним видом альтернативної енергії та для кожного об’єкта електроенергетики або для кожної черги будівництва електростанції (пускового комплексу) </w:t>
            </w:r>
            <w:r>
              <w:rPr>
                <w:rFonts w:ascii="Times New Roman" w:eastAsia="Times New Roman" w:hAnsi="Times New Roman" w:cs="Times New Roman"/>
                <w:b/>
                <w:sz w:val="28"/>
                <w:szCs w:val="28"/>
              </w:rPr>
              <w:t xml:space="preserve">з урахуванням положень цієї статті, </w:t>
            </w:r>
            <w:proofErr w:type="spellStart"/>
            <w:r>
              <w:rPr>
                <w:rFonts w:ascii="Times New Roman" w:eastAsia="Times New Roman" w:hAnsi="Times New Roman" w:cs="Times New Roman"/>
                <w:b/>
                <w:sz w:val="28"/>
                <w:szCs w:val="28"/>
              </w:rPr>
              <w:t>статті</w:t>
            </w:r>
            <w:proofErr w:type="spellEnd"/>
            <w:r>
              <w:rPr>
                <w:rFonts w:ascii="Times New Roman" w:eastAsia="Times New Roman" w:hAnsi="Times New Roman" w:cs="Times New Roman"/>
                <w:b/>
                <w:sz w:val="28"/>
                <w:szCs w:val="28"/>
              </w:rPr>
              <w:t xml:space="preserve"> 9</w:t>
            </w:r>
            <w:r w:rsidRPr="00E80CD5">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та статті 9</w:t>
            </w:r>
            <w:r w:rsidRPr="00E80CD5">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цього Закону.</w:t>
            </w:r>
          </w:p>
          <w:p w:rsidR="00A0744B" w:rsidRDefault="00F2411E">
            <w:pPr>
              <w:spacing w:after="60" w:line="216"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&lt;…&gt;</w:t>
            </w:r>
            <w:bookmarkStart w:id="1" w:name="_GoBack"/>
            <w:bookmarkEnd w:id="1"/>
          </w:p>
          <w:p w:rsidR="00A0744B" w:rsidRDefault="00A0744B">
            <w:pPr>
              <w:pBdr>
                <w:top w:val="nil"/>
                <w:left w:val="nil"/>
                <w:bottom w:val="nil"/>
                <w:right w:val="nil"/>
                <w:between w:val="nil"/>
              </w:pBdr>
              <w:tabs>
                <w:tab w:val="left" w:pos="426"/>
              </w:tabs>
              <w:spacing w:after="60" w:line="216" w:lineRule="auto"/>
              <w:ind w:firstLine="709"/>
              <w:jc w:val="both"/>
              <w:rPr>
                <w:rFonts w:ascii="Times New Roman" w:eastAsia="Times New Roman" w:hAnsi="Times New Roman" w:cs="Times New Roman"/>
                <w:b/>
                <w:sz w:val="28"/>
                <w:szCs w:val="28"/>
              </w:rPr>
            </w:pP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Введення механізму реструктуризації “зелених” тарифів.</w:t>
            </w: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pPr>
              <w:spacing w:after="60" w:line="216" w:lineRule="auto"/>
              <w:ind w:firstLine="456"/>
              <w:jc w:val="both"/>
              <w:rPr>
                <w:rFonts w:ascii="Times New Roman" w:eastAsia="Times New Roman" w:hAnsi="Times New Roman" w:cs="Times New Roman"/>
                <w:sz w:val="28"/>
                <w:szCs w:val="28"/>
              </w:rPr>
            </w:pPr>
          </w:p>
          <w:p w:rsidR="00A0744B" w:rsidRDefault="00A0744B" w:rsidP="00E250AB">
            <w:pPr>
              <w:spacing w:after="60" w:line="216" w:lineRule="auto"/>
              <w:ind w:firstLine="456"/>
              <w:jc w:val="both"/>
              <w:rPr>
                <w:rFonts w:ascii="Times New Roman" w:eastAsia="Times New Roman" w:hAnsi="Times New Roman" w:cs="Times New Roman"/>
                <w:b/>
                <w:sz w:val="28"/>
                <w:szCs w:val="28"/>
              </w:rPr>
            </w:pPr>
          </w:p>
        </w:tc>
      </w:tr>
      <w:tr w:rsidR="00A0744B">
        <w:tc>
          <w:tcPr>
            <w:tcW w:w="5499" w:type="dxa"/>
          </w:tcPr>
          <w:p w:rsidR="00A0744B" w:rsidRDefault="00F2411E" w:rsidP="00E80CD5">
            <w:pPr>
              <w:spacing w:after="60" w:line="216" w:lineRule="auto"/>
              <w:ind w:firstLine="426"/>
              <w:jc w:val="both"/>
              <w:rPr>
                <w:rFonts w:ascii="Times New Roman" w:eastAsia="Times New Roman" w:hAnsi="Times New Roman" w:cs="Times New Roman"/>
                <w:strike/>
                <w:sz w:val="28"/>
                <w:szCs w:val="28"/>
              </w:rPr>
            </w:pPr>
            <w:bookmarkStart w:id="2" w:name="bookmark=id.30j0zll" w:colFirst="0" w:colLast="0"/>
            <w:bookmarkEnd w:id="2"/>
            <w:r>
              <w:rPr>
                <w:rFonts w:ascii="Times New Roman" w:eastAsia="Times New Roman" w:hAnsi="Times New Roman" w:cs="Times New Roman"/>
                <w:b/>
                <w:sz w:val="28"/>
                <w:szCs w:val="28"/>
              </w:rPr>
              <w:lastRenderedPageBreak/>
              <w:t>Стаття 9</w:t>
            </w:r>
            <w:r w:rsidRPr="00E80CD5">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Стимулювання виробників електричної енергії з альтернативних джерел енергії, які за результатами аукціону набули право на підтримку</w:t>
            </w:r>
          </w:p>
        </w:tc>
        <w:tc>
          <w:tcPr>
            <w:tcW w:w="5386" w:type="dxa"/>
          </w:tcPr>
          <w:p w:rsidR="00A0744B" w:rsidRDefault="00F2411E" w:rsidP="00E80CD5">
            <w:pPr>
              <w:spacing w:after="60" w:line="216" w:lineRule="auto"/>
              <w:ind w:firstLine="426"/>
              <w:jc w:val="both"/>
              <w:rPr>
                <w:rFonts w:ascii="Times New Roman" w:eastAsia="Times New Roman" w:hAnsi="Times New Roman" w:cs="Times New Roman"/>
                <w:strike/>
                <w:sz w:val="28"/>
                <w:szCs w:val="28"/>
              </w:rPr>
            </w:pPr>
            <w:r>
              <w:rPr>
                <w:rFonts w:ascii="Times New Roman" w:eastAsia="Times New Roman" w:hAnsi="Times New Roman" w:cs="Times New Roman"/>
                <w:b/>
                <w:sz w:val="28"/>
                <w:szCs w:val="28"/>
              </w:rPr>
              <w:t>Стаття 9</w:t>
            </w:r>
            <w:r w:rsidRPr="00E80CD5">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Стимулювання виробників електричної енергії з альтернативних джерел енергії, які за результатами аукціону набули право на підтримк</w:t>
            </w:r>
            <w:r>
              <w:rPr>
                <w:rFonts w:ascii="Times New Roman" w:eastAsia="Times New Roman" w:hAnsi="Times New Roman" w:cs="Times New Roman"/>
                <w:sz w:val="28"/>
                <w:szCs w:val="28"/>
              </w:rPr>
              <w:t>у</w:t>
            </w:r>
          </w:p>
        </w:tc>
        <w:tc>
          <w:tcPr>
            <w:tcW w:w="4248" w:type="dxa"/>
          </w:tcPr>
          <w:p w:rsidR="00A0744B" w:rsidRDefault="00A0744B">
            <w:pPr>
              <w:spacing w:after="0" w:line="216" w:lineRule="auto"/>
              <w:ind w:firstLine="456"/>
              <w:jc w:val="both"/>
              <w:rPr>
                <w:rFonts w:ascii="Times New Roman" w:eastAsia="Times New Roman" w:hAnsi="Times New Roman" w:cs="Times New Roman"/>
                <w:b/>
                <w:sz w:val="28"/>
                <w:szCs w:val="28"/>
              </w:rPr>
            </w:pPr>
          </w:p>
        </w:tc>
      </w:tr>
      <w:tr w:rsidR="00A0744B">
        <w:trPr>
          <w:trHeight w:val="3368"/>
        </w:trPr>
        <w:tc>
          <w:tcPr>
            <w:tcW w:w="5499" w:type="dxa"/>
          </w:tcPr>
          <w:p w:rsidR="00A0744B" w:rsidRDefault="00F2411E">
            <w:pPr>
              <w:spacing w:after="60" w:line="216"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w:t>
            </w:r>
          </w:p>
          <w:p w:rsidR="00A0744B" w:rsidRDefault="00A0744B">
            <w:pPr>
              <w:spacing w:after="60" w:line="216" w:lineRule="auto"/>
              <w:ind w:firstLine="426"/>
              <w:jc w:val="both"/>
              <w:rPr>
                <w:rFonts w:ascii="Times New Roman" w:eastAsia="Times New Roman" w:hAnsi="Times New Roman" w:cs="Times New Roman"/>
                <w:sz w:val="28"/>
                <w:szCs w:val="28"/>
              </w:rPr>
            </w:pPr>
          </w:p>
          <w:p w:rsidR="00A0744B" w:rsidRDefault="00F2411E">
            <w:pPr>
              <w:spacing w:after="60" w:line="216"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для об’єктів, що виробляють електричну енергію з енергії вітру </w:t>
            </w:r>
            <w:r>
              <w:rPr>
                <w:rFonts w:ascii="Times New Roman" w:eastAsia="Times New Roman" w:hAnsi="Times New Roman" w:cs="Times New Roman"/>
                <w:b/>
                <w:sz w:val="28"/>
                <w:szCs w:val="28"/>
              </w:rPr>
              <w:t xml:space="preserve">(крім об’єктів з трьома </w:t>
            </w:r>
            <w:proofErr w:type="spellStart"/>
            <w:r>
              <w:rPr>
                <w:rFonts w:ascii="Times New Roman" w:eastAsia="Times New Roman" w:hAnsi="Times New Roman" w:cs="Times New Roman"/>
                <w:b/>
                <w:sz w:val="28"/>
                <w:szCs w:val="28"/>
              </w:rPr>
              <w:t>вітротурбінами</w:t>
            </w:r>
            <w:proofErr w:type="spellEnd"/>
            <w:r>
              <w:rPr>
                <w:rFonts w:ascii="Times New Roman" w:eastAsia="Times New Roman" w:hAnsi="Times New Roman" w:cs="Times New Roman"/>
                <w:b/>
                <w:sz w:val="28"/>
                <w:szCs w:val="28"/>
              </w:rPr>
              <w:t xml:space="preserve"> незалежно від встановленої потужності таких </w:t>
            </w:r>
            <w:proofErr w:type="spellStart"/>
            <w:r>
              <w:rPr>
                <w:rFonts w:ascii="Times New Roman" w:eastAsia="Times New Roman" w:hAnsi="Times New Roman" w:cs="Times New Roman"/>
                <w:b/>
                <w:sz w:val="28"/>
                <w:szCs w:val="28"/>
              </w:rPr>
              <w:t>вітротурбін</w:t>
            </w:r>
            <w:proofErr w:type="spellEnd"/>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 більше 5 МВт;</w:t>
            </w:r>
          </w:p>
          <w:p w:rsidR="00A0744B" w:rsidRDefault="00A0744B">
            <w:pPr>
              <w:spacing w:after="60" w:line="216" w:lineRule="auto"/>
              <w:ind w:firstLine="426"/>
              <w:jc w:val="both"/>
              <w:rPr>
                <w:rFonts w:ascii="Times New Roman" w:eastAsia="Times New Roman" w:hAnsi="Times New Roman" w:cs="Times New Roman"/>
                <w:sz w:val="28"/>
                <w:szCs w:val="28"/>
              </w:rPr>
            </w:pPr>
          </w:p>
          <w:p w:rsidR="00A0744B" w:rsidRDefault="00F2411E">
            <w:pPr>
              <w:spacing w:after="60" w:line="216" w:lineRule="auto"/>
              <w:ind w:firstLine="272"/>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p>
        </w:tc>
        <w:tc>
          <w:tcPr>
            <w:tcW w:w="5386" w:type="dxa"/>
          </w:tcPr>
          <w:p w:rsidR="00A0744B" w:rsidRDefault="00F2411E">
            <w:pPr>
              <w:spacing w:after="60" w:line="216"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w:t>
            </w:r>
          </w:p>
          <w:p w:rsidR="00A0744B" w:rsidRDefault="00A0744B">
            <w:pPr>
              <w:spacing w:after="60" w:line="216" w:lineRule="auto"/>
              <w:ind w:firstLine="426"/>
              <w:jc w:val="both"/>
              <w:rPr>
                <w:rFonts w:ascii="Times New Roman" w:eastAsia="Times New Roman" w:hAnsi="Times New Roman" w:cs="Times New Roman"/>
                <w:sz w:val="28"/>
                <w:szCs w:val="28"/>
              </w:rPr>
            </w:pPr>
          </w:p>
          <w:p w:rsidR="00A0744B" w:rsidRDefault="00F2411E">
            <w:pPr>
              <w:spacing w:after="60" w:line="216"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об’єктів, що виробляють електричну енергію з енергії вітру, - більше 5 МВт;</w:t>
            </w:r>
          </w:p>
          <w:p w:rsidR="00A0744B" w:rsidRDefault="00A0744B">
            <w:pPr>
              <w:spacing w:after="60" w:line="216" w:lineRule="auto"/>
              <w:ind w:firstLine="426"/>
              <w:jc w:val="both"/>
              <w:rPr>
                <w:rFonts w:ascii="Times New Roman" w:eastAsia="Times New Roman" w:hAnsi="Times New Roman" w:cs="Times New Roman"/>
                <w:sz w:val="28"/>
                <w:szCs w:val="28"/>
              </w:rPr>
            </w:pPr>
          </w:p>
          <w:p w:rsidR="00A0744B" w:rsidRDefault="00F2411E">
            <w:pPr>
              <w:spacing w:after="60" w:line="216" w:lineRule="auto"/>
              <w:ind w:firstLine="272"/>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bookmarkStart w:id="3" w:name="_heading=h.1fob9te" w:colFirst="0" w:colLast="0"/>
            <w:bookmarkEnd w:id="3"/>
            <w:r>
              <w:rPr>
                <w:rFonts w:ascii="Times New Roman" w:eastAsia="Times New Roman" w:hAnsi="Times New Roman" w:cs="Times New Roman"/>
                <w:sz w:val="28"/>
                <w:szCs w:val="28"/>
              </w:rPr>
              <w:lastRenderedPageBreak/>
              <w:t xml:space="preserve">Скасування виключення для об’єктів з трьома </w:t>
            </w:r>
            <w:proofErr w:type="spellStart"/>
            <w:r>
              <w:rPr>
                <w:rFonts w:ascii="Times New Roman" w:eastAsia="Times New Roman" w:hAnsi="Times New Roman" w:cs="Times New Roman"/>
                <w:sz w:val="28"/>
                <w:szCs w:val="28"/>
              </w:rPr>
              <w:t>вітротурбінами</w:t>
            </w:r>
            <w:proofErr w:type="spellEnd"/>
            <w:r>
              <w:rPr>
                <w:rFonts w:ascii="Times New Roman" w:eastAsia="Times New Roman" w:hAnsi="Times New Roman" w:cs="Times New Roman"/>
                <w:sz w:val="28"/>
                <w:szCs w:val="28"/>
              </w:rPr>
              <w:t xml:space="preserve"> незалежно від встановленої потужності таких </w:t>
            </w:r>
            <w:proofErr w:type="spellStart"/>
            <w:r>
              <w:rPr>
                <w:rFonts w:ascii="Times New Roman" w:eastAsia="Times New Roman" w:hAnsi="Times New Roman" w:cs="Times New Roman"/>
                <w:sz w:val="28"/>
                <w:szCs w:val="28"/>
              </w:rPr>
              <w:t>вітротурбін</w:t>
            </w:r>
            <w:proofErr w:type="spellEnd"/>
            <w:r>
              <w:rPr>
                <w:rFonts w:ascii="Times New Roman" w:eastAsia="Times New Roman" w:hAnsi="Times New Roman" w:cs="Times New Roman"/>
                <w:sz w:val="28"/>
                <w:szCs w:val="28"/>
              </w:rPr>
              <w:t xml:space="preserve"> щодо обов'язкової участі в аукціонах.</w:t>
            </w:r>
          </w:p>
          <w:p w:rsidR="00A0744B" w:rsidRDefault="00A0744B">
            <w:pPr>
              <w:spacing w:after="0" w:line="216" w:lineRule="auto"/>
              <w:ind w:firstLine="456"/>
              <w:jc w:val="both"/>
              <w:rPr>
                <w:rFonts w:ascii="Times New Roman" w:eastAsia="Times New Roman" w:hAnsi="Times New Roman" w:cs="Times New Roman"/>
                <w:sz w:val="28"/>
                <w:szCs w:val="28"/>
              </w:rPr>
            </w:pPr>
          </w:p>
        </w:tc>
      </w:tr>
      <w:tr w:rsidR="00A0744B">
        <w:tc>
          <w:tcPr>
            <w:tcW w:w="5499" w:type="dxa"/>
          </w:tcPr>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Кабінет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щороку, не пізніше 1 грудня, встановлює річні квоти підтримки на наступних п’ять років. Пропозиції щодо розміру річних квот підтримки готуються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оператором системи передачі з урахуванням міжнародних зобов’язань України щодо розвитку відновлюваної енергетики, Енергетичної стратегії України, звіту з оцінки відповідності (достатності) генеруючих потужностей та плану розвитку системи передачі, стану </w:t>
            </w:r>
            <w:r>
              <w:rPr>
                <w:rFonts w:ascii="Times New Roman" w:eastAsia="Times New Roman" w:hAnsi="Times New Roman" w:cs="Times New Roman"/>
                <w:sz w:val="28"/>
                <w:szCs w:val="28"/>
              </w:rPr>
              <w:lastRenderedPageBreak/>
              <w:t>реалізації проектів будівництва об’єктів відновлюваної енергетики.</w:t>
            </w:r>
          </w:p>
          <w:p w:rsidR="00A0744B" w:rsidRDefault="00A0744B">
            <w:pPr>
              <w:spacing w:after="60" w:line="216" w:lineRule="auto"/>
              <w:jc w:val="both"/>
              <w:rPr>
                <w:rFonts w:ascii="Times New Roman" w:eastAsia="Times New Roman" w:hAnsi="Times New Roman" w:cs="Times New Roman"/>
                <w:sz w:val="28"/>
                <w:szCs w:val="28"/>
              </w:rPr>
            </w:pPr>
          </w:p>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p>
        </w:tc>
        <w:tc>
          <w:tcPr>
            <w:tcW w:w="5386" w:type="dxa"/>
          </w:tcPr>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Кабінет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щороку, не пізніше 1 грудня, встановлює річні квоти підтримки на наступних п’ять років </w:t>
            </w:r>
            <w:r>
              <w:rPr>
                <w:rFonts w:ascii="Times New Roman" w:eastAsia="Times New Roman" w:hAnsi="Times New Roman" w:cs="Times New Roman"/>
                <w:b/>
                <w:sz w:val="28"/>
                <w:szCs w:val="28"/>
              </w:rPr>
              <w:t>та графік проведення аукціонів на наступний рік</w:t>
            </w:r>
            <w:r>
              <w:rPr>
                <w:rFonts w:ascii="Times New Roman" w:eastAsia="Times New Roman" w:hAnsi="Times New Roman" w:cs="Times New Roman"/>
                <w:sz w:val="28"/>
                <w:szCs w:val="28"/>
              </w:rPr>
              <w:t xml:space="preserve">. Пропозиції щодо розміру річних квот підтримки готуються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оператором системи передачі з урахуванням міжнародних зобов’язань України щодо розвитку відновлюваної енергетики, Енергетичної стратегії України, звіту з оцінки відповідності </w:t>
            </w:r>
            <w:r>
              <w:rPr>
                <w:rFonts w:ascii="Times New Roman" w:eastAsia="Times New Roman" w:hAnsi="Times New Roman" w:cs="Times New Roman"/>
                <w:sz w:val="28"/>
                <w:szCs w:val="28"/>
              </w:rPr>
              <w:lastRenderedPageBreak/>
              <w:t>(достатності) генеруючих потужностей та плану розвитку системи передачі, стану реалізації проектів будівництва об’єктів відновлюваної енергетики.</w:t>
            </w:r>
          </w:p>
          <w:p w:rsidR="00A0744B" w:rsidRDefault="00A0744B">
            <w:pPr>
              <w:spacing w:after="60" w:line="216" w:lineRule="auto"/>
              <w:jc w:val="both"/>
              <w:rPr>
                <w:rFonts w:ascii="Times New Roman" w:eastAsia="Times New Roman" w:hAnsi="Times New Roman" w:cs="Times New Roman"/>
                <w:sz w:val="28"/>
                <w:szCs w:val="28"/>
              </w:rPr>
            </w:pPr>
          </w:p>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&lt;…&gt;</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Визначення Кабінету Міністрів України відповідальним за встановлення графіку проведення аукціонів на наступний рік. </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Наявність графіку проведення аукціонів із зазначенням періодів їх проведення, обсягу і типу квоти, що буде на них пропонуватися, спростить інвесторам планування участі в аукціонах та дозволить залучити більшу кількість учасників.  </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Встановлення графіку проведення аукціонів передбачено Порядком проведення аукціонів з розподілу квоти підтримки, затвердженим постановою Кабінету Міністрів України від 27.12.2019 №1175. </w:t>
            </w:r>
          </w:p>
        </w:tc>
      </w:tr>
      <w:tr w:rsidR="00A0744B">
        <w:tc>
          <w:tcPr>
            <w:tcW w:w="5499" w:type="dxa"/>
          </w:tcPr>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У рамках загальної або додаткової квоти Кабінетом Міністрів України можуть бути 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 Порядок оголошення і проведення аукціону визначається порядком проведення аукціонів з розподілу квоти підтримки.</w:t>
            </w:r>
          </w:p>
        </w:tc>
        <w:tc>
          <w:tcPr>
            <w:tcW w:w="5386" w:type="dxa"/>
          </w:tcPr>
          <w:p w:rsidR="00A0744B" w:rsidRDefault="00F2411E">
            <w:pPr>
              <w:pBdr>
                <w:top w:val="nil"/>
                <w:left w:val="nil"/>
                <w:bottom w:val="nil"/>
                <w:right w:val="nil"/>
                <w:between w:val="nil"/>
              </w:pBdr>
              <w:spacing w:after="0" w:line="216"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 рамках річної або додаткової річної квоти підтримки Кабінетом Міністрів України</w:t>
            </w:r>
            <w:r w:rsidR="007022EF">
              <w:rPr>
                <w:rFonts w:ascii="Times New Roman" w:eastAsia="Times New Roman" w:hAnsi="Times New Roman" w:cs="Times New Roman"/>
                <w:b/>
                <w:color w:val="000000"/>
                <w:sz w:val="28"/>
                <w:szCs w:val="28"/>
              </w:rPr>
              <w:t xml:space="preserve"> </w:t>
            </w:r>
            <w:r w:rsidR="007022EF" w:rsidRPr="007022EF">
              <w:rPr>
                <w:rFonts w:ascii="Times New Roman" w:eastAsia="Times New Roman" w:hAnsi="Times New Roman" w:cs="Times New Roman"/>
                <w:b/>
                <w:color w:val="000000"/>
                <w:sz w:val="28"/>
                <w:szCs w:val="28"/>
              </w:rPr>
              <w:t>за поданням центрального органу виконавчої влади, що забезпечує формування та реалізує державну політику в електроенергетичному комплексі,</w:t>
            </w:r>
            <w:r>
              <w:rPr>
                <w:rFonts w:ascii="Times New Roman" w:eastAsia="Times New Roman" w:hAnsi="Times New Roman" w:cs="Times New Roman"/>
                <w:b/>
                <w:color w:val="000000"/>
                <w:sz w:val="28"/>
                <w:szCs w:val="28"/>
              </w:rPr>
              <w:t xml:space="preserve"> можуть бути:</w:t>
            </w:r>
          </w:p>
          <w:p w:rsidR="00A0744B" w:rsidRDefault="00F2411E">
            <w:pPr>
              <w:pBdr>
                <w:top w:val="nil"/>
                <w:left w:val="nil"/>
                <w:bottom w:val="nil"/>
                <w:right w:val="nil"/>
                <w:between w:val="nil"/>
              </w:pBdr>
              <w:spacing w:after="0" w:line="216"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визначені окремі області (регіони) для будівництва об’єктів відновлюваної енергетики;</w:t>
            </w:r>
          </w:p>
          <w:p w:rsidR="00A0744B" w:rsidRDefault="00F2411E">
            <w:pPr>
              <w:pBdr>
                <w:top w:val="nil"/>
                <w:left w:val="nil"/>
                <w:bottom w:val="nil"/>
                <w:right w:val="nil"/>
                <w:between w:val="nil"/>
              </w:pBdr>
              <w:spacing w:after="0" w:line="216"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визначені максимальні величини потужності об’єкта електроенергетики або черги (пускового комплексу) об’єкта електроенергетики, щодо якого суб’єкт господарювання може набути право на підтримку на відповідному аукціоні;</w:t>
            </w:r>
          </w:p>
          <w:p w:rsidR="00A0744B" w:rsidRDefault="00F2411E">
            <w:pPr>
              <w:pBdr>
                <w:top w:val="nil"/>
                <w:left w:val="nil"/>
                <w:bottom w:val="nil"/>
                <w:right w:val="nil"/>
                <w:between w:val="nil"/>
              </w:pBdr>
              <w:spacing w:after="0" w:line="216"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w:t>
            </w:r>
          </w:p>
          <w:p w:rsidR="00A0744B" w:rsidRDefault="00F2411E">
            <w:pPr>
              <w:pBdr>
                <w:top w:val="nil"/>
                <w:left w:val="nil"/>
                <w:bottom w:val="nil"/>
                <w:right w:val="nil"/>
                <w:between w:val="nil"/>
              </w:pBdr>
              <w:spacing w:after="0" w:line="216"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 xml:space="preserve">запропоновані дахи та/або фасади будівель та інших капітальних споруд, що надаються в оренду для будівництва </w:t>
            </w:r>
            <w:r>
              <w:rPr>
                <w:rFonts w:ascii="Times New Roman" w:eastAsia="Times New Roman" w:hAnsi="Times New Roman" w:cs="Times New Roman"/>
                <w:b/>
                <w:color w:val="000000"/>
                <w:sz w:val="28"/>
                <w:szCs w:val="28"/>
              </w:rPr>
              <w:lastRenderedPageBreak/>
              <w:t xml:space="preserve">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w:t>
            </w:r>
            <w:r>
              <w:rPr>
                <w:rFonts w:ascii="Times New Roman" w:eastAsia="Times New Roman" w:hAnsi="Times New Roman" w:cs="Times New Roman"/>
                <w:b/>
                <w:sz w:val="28"/>
                <w:szCs w:val="28"/>
              </w:rPr>
              <w:t>Особливості</w:t>
            </w:r>
            <w:r>
              <w:rPr>
                <w:rFonts w:ascii="Times New Roman" w:eastAsia="Times New Roman" w:hAnsi="Times New Roman" w:cs="Times New Roman"/>
                <w:b/>
                <w:color w:val="000000"/>
                <w:sz w:val="28"/>
                <w:szCs w:val="28"/>
              </w:rPr>
              <w:t xml:space="preserve"> оголошення і проведення аукціонів, зазначених у цій частині, визнача</w:t>
            </w:r>
            <w:r>
              <w:rPr>
                <w:rFonts w:ascii="Times New Roman" w:eastAsia="Times New Roman" w:hAnsi="Times New Roman" w:cs="Times New Roman"/>
                <w:b/>
                <w:sz w:val="28"/>
                <w:szCs w:val="28"/>
              </w:rPr>
              <w:t>ю</w:t>
            </w:r>
            <w:r>
              <w:rPr>
                <w:rFonts w:ascii="Times New Roman" w:eastAsia="Times New Roman" w:hAnsi="Times New Roman" w:cs="Times New Roman"/>
                <w:b/>
                <w:color w:val="000000"/>
                <w:sz w:val="28"/>
                <w:szCs w:val="28"/>
              </w:rPr>
              <w:t>ться порядком проведення аукціонів з розподілу квоти підтримки.</w:t>
            </w: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Законом визначений термін </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річна квота підтримки</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Разом з тим, чинною редакцією не передбачено визначення понять загальна та додаткова квота. Тому з метою унормування термінології пропонується визначення </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річна та додаткова річна квоти підтримки</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w:t>
            </w:r>
          </w:p>
          <w:p w:rsidR="00A0744B" w:rsidRDefault="00A0744B">
            <w:pPr>
              <w:spacing w:after="0" w:line="216" w:lineRule="auto"/>
              <w:ind w:firstLine="456"/>
              <w:jc w:val="both"/>
              <w:rPr>
                <w:rFonts w:ascii="Times New Roman" w:eastAsia="Times New Roman" w:hAnsi="Times New Roman" w:cs="Times New Roman"/>
                <w:color w:val="000000"/>
                <w:sz w:val="28"/>
                <w:szCs w:val="28"/>
              </w:rPr>
            </w:pP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теперішній час близько 60% об’єктів відновлюваної енергетики зосереджені у 5 </w:t>
            </w:r>
            <w:r>
              <w:rPr>
                <w:rFonts w:ascii="Times New Roman" w:eastAsia="Times New Roman" w:hAnsi="Times New Roman" w:cs="Times New Roman"/>
                <w:sz w:val="28"/>
                <w:szCs w:val="28"/>
              </w:rPr>
              <w:t>південних</w:t>
            </w:r>
            <w:r>
              <w:rPr>
                <w:rFonts w:ascii="Times New Roman" w:eastAsia="Times New Roman" w:hAnsi="Times New Roman" w:cs="Times New Roman"/>
                <w:color w:val="000000"/>
                <w:sz w:val="28"/>
                <w:szCs w:val="28"/>
              </w:rPr>
              <w:t xml:space="preserve"> областях (Запорізька, Дніпропетровська, Одеська, Миколаївська, Херсонська). Зазначені регіони є </w:t>
            </w:r>
            <w:proofErr w:type="spellStart"/>
            <w:r>
              <w:rPr>
                <w:rFonts w:ascii="Times New Roman" w:eastAsia="Times New Roman" w:hAnsi="Times New Roman" w:cs="Times New Roman"/>
                <w:color w:val="000000"/>
                <w:sz w:val="28"/>
                <w:szCs w:val="28"/>
              </w:rPr>
              <w:t>енергопрофіцитними</w:t>
            </w:r>
            <w:proofErr w:type="spellEnd"/>
            <w:r>
              <w:rPr>
                <w:rFonts w:ascii="Times New Roman" w:eastAsia="Times New Roman" w:hAnsi="Times New Roman" w:cs="Times New Roman"/>
                <w:color w:val="000000"/>
                <w:sz w:val="28"/>
                <w:szCs w:val="28"/>
              </w:rPr>
              <w:t xml:space="preserve"> і вже мають складнощі з приєднанням нових електроустановок до електричних мереж.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Крім того, скупчення в одному регіоні об’єктів, які мають негарантований, змінний графік виробництва електроенергії, створює ризики </w:t>
            </w:r>
            <w:r>
              <w:rPr>
                <w:rFonts w:ascii="Times New Roman" w:eastAsia="Times New Roman" w:hAnsi="Times New Roman" w:cs="Times New Roman"/>
                <w:color w:val="000000"/>
                <w:sz w:val="28"/>
                <w:szCs w:val="28"/>
              </w:rPr>
              <w:lastRenderedPageBreak/>
              <w:t>порушення системних обмежень ліній і вузлів мережі ОЕС України.</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Тому, з метою сприяння розосередження об’єктів відновлюваної енергетики по території України пропонується надати право Кабінету Міністрів України встановлювати річні квоти підтримки у визначених областях або регіонах.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Крім того, з аналогічною метою, а також для сприяння розвитку малого і середнього підприємництва  пропонується надати право Кабінету Міністрів України встановлювати обмеження максимальної потужності об’єкта електроенергетики на відповідному аукціоні.</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Пропонується запровадження можливості надання в оренду дахів та/або фасадів будівель та інших капітальних споруд для проведення аукціонів на будівництво сонячних електростанцій, що сприятиме наближенню об’єктів генерації до споживачів та можливості отримання додаткових коштів власникам будівель від оренди </w:t>
            </w:r>
            <w:r>
              <w:rPr>
                <w:rFonts w:ascii="Times New Roman" w:eastAsia="Times New Roman" w:hAnsi="Times New Roman" w:cs="Times New Roman"/>
                <w:color w:val="000000"/>
                <w:sz w:val="28"/>
                <w:szCs w:val="28"/>
              </w:rPr>
              <w:lastRenderedPageBreak/>
              <w:t>зазначених площ.</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Річна квота підтримки розподіляється на частки за окремими альтернативними джерелами енергії:</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4" w:name="bookmark=id.1fob9te" w:colFirst="0" w:colLast="0"/>
            <w:bookmarkEnd w:id="4"/>
            <w:r>
              <w:rPr>
                <w:rFonts w:ascii="Times New Roman" w:eastAsia="Times New Roman" w:hAnsi="Times New Roman" w:cs="Times New Roman"/>
                <w:color w:val="000000"/>
                <w:sz w:val="28"/>
                <w:szCs w:val="28"/>
              </w:rPr>
              <w:t>для об’єктів електроенергетики або черг (пускових комплексів) об’єктів електроенергетики, що виробляють електричну енергію з енергії сонячного випромінювання, розмір такої частки не може становити менше 15 відсотків;</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5" w:name="bookmark=id.3znysh7" w:colFirst="0" w:colLast="0"/>
            <w:bookmarkEnd w:id="5"/>
            <w:r>
              <w:rPr>
                <w:rFonts w:ascii="Times New Roman" w:eastAsia="Times New Roman" w:hAnsi="Times New Roman" w:cs="Times New Roman"/>
                <w:color w:val="000000"/>
                <w:sz w:val="28"/>
                <w:szCs w:val="28"/>
              </w:rPr>
              <w:t>для об’єктів електроенергетики або черг (пускових комплексів) об’єктів електроенергетики, що виробляють електричну енергію з енергії вітру, розмір такої частки не може становити менше 15 відсотків;</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6" w:name="bookmark=id.2et92p0" w:colFirst="0" w:colLast="0"/>
            <w:bookmarkEnd w:id="6"/>
            <w:r>
              <w:rPr>
                <w:rFonts w:ascii="Times New Roman" w:eastAsia="Times New Roman" w:hAnsi="Times New Roman" w:cs="Times New Roman"/>
                <w:color w:val="000000"/>
                <w:sz w:val="28"/>
                <w:szCs w:val="28"/>
              </w:rPr>
              <w:t>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лише мікро-, міні- та малих гідроелектростанцій), розмір такої частки не може становити менше 15 відсотків.</w:t>
            </w: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Річна квота підтримки розподіляється на частки за окремими альтернативними джерелами енергії:</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об’єктів електроенергетики або черг (пускових комплексів) об’єктів електроенергетики, що виробляють електричну енергію з енергії сонячного випромінювання, розмір такої частки не може становити менше </w:t>
            </w:r>
            <w:r>
              <w:rPr>
                <w:rFonts w:ascii="Times New Roman" w:eastAsia="Times New Roman" w:hAnsi="Times New Roman" w:cs="Times New Roman"/>
                <w:b/>
                <w:color w:val="000000"/>
                <w:sz w:val="28"/>
                <w:szCs w:val="28"/>
              </w:rPr>
              <w:t>10</w:t>
            </w:r>
            <w:r>
              <w:rPr>
                <w:rFonts w:ascii="Times New Roman" w:eastAsia="Times New Roman" w:hAnsi="Times New Roman" w:cs="Times New Roman"/>
                <w:color w:val="000000"/>
                <w:sz w:val="28"/>
                <w:szCs w:val="28"/>
              </w:rPr>
              <w:t xml:space="preserve"> відсотків;</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об’єктів електроенергетики або черг (пускових комплексів) об’єктів електроенергетики, що виробляють електричну енергію з енергії вітру, розмір такої частки не може становити менше </w:t>
            </w:r>
            <w:r>
              <w:rPr>
                <w:rFonts w:ascii="Times New Roman" w:eastAsia="Times New Roman" w:hAnsi="Times New Roman" w:cs="Times New Roman"/>
                <w:b/>
                <w:color w:val="000000"/>
                <w:sz w:val="28"/>
                <w:szCs w:val="28"/>
              </w:rPr>
              <w:t>10</w:t>
            </w:r>
            <w:r>
              <w:rPr>
                <w:rFonts w:ascii="Times New Roman" w:eastAsia="Times New Roman" w:hAnsi="Times New Roman" w:cs="Times New Roman"/>
                <w:color w:val="000000"/>
                <w:sz w:val="28"/>
                <w:szCs w:val="28"/>
              </w:rPr>
              <w:t xml:space="preserve"> відсотків;</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w:t>
            </w:r>
            <w:r>
              <w:rPr>
                <w:rFonts w:ascii="Times New Roman" w:eastAsia="Times New Roman" w:hAnsi="Times New Roman" w:cs="Times New Roman"/>
                <w:b/>
                <w:color w:val="000000"/>
                <w:sz w:val="28"/>
                <w:szCs w:val="28"/>
              </w:rPr>
              <w:t>енергії вітру, енергії сонячного випромінювання,</w:t>
            </w:r>
            <w:r>
              <w:rPr>
                <w:rFonts w:ascii="Times New Roman" w:eastAsia="Times New Roman" w:hAnsi="Times New Roman" w:cs="Times New Roman"/>
                <w:color w:val="000000"/>
                <w:sz w:val="28"/>
                <w:szCs w:val="28"/>
              </w:rPr>
              <w:t xml:space="preserve">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w:t>
            </w:r>
            <w:r>
              <w:rPr>
                <w:rFonts w:ascii="Times New Roman" w:eastAsia="Times New Roman" w:hAnsi="Times New Roman" w:cs="Times New Roman"/>
                <w:b/>
                <w:color w:val="000000"/>
                <w:sz w:val="28"/>
                <w:szCs w:val="28"/>
              </w:rPr>
              <w:t>10</w:t>
            </w:r>
            <w:r>
              <w:rPr>
                <w:rFonts w:ascii="Times New Roman" w:eastAsia="Times New Roman" w:hAnsi="Times New Roman" w:cs="Times New Roman"/>
                <w:color w:val="000000"/>
                <w:sz w:val="28"/>
                <w:szCs w:val="28"/>
              </w:rPr>
              <w:t xml:space="preserve"> відсотків.</w:t>
            </w: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bookmarkStart w:id="7" w:name="_heading=h.3znysh7" w:colFirst="0" w:colLast="0"/>
            <w:bookmarkEnd w:id="7"/>
            <w:r>
              <w:rPr>
                <w:rFonts w:ascii="Times New Roman" w:eastAsia="Times New Roman" w:hAnsi="Times New Roman" w:cs="Times New Roman"/>
                <w:color w:val="000000"/>
                <w:sz w:val="28"/>
                <w:szCs w:val="28"/>
              </w:rPr>
              <w:t>З метою підвищення гнучкості органів державної влади під час встановлення річних квот підтримки та забезпечення розвитку необхідних ОЕС України генеруючих потужностей, пропонується зменшити мінімальну частку обов’язкового розподілу річних квот підтримки по окремим технологіям з 15 до 10 відсотків.</w:t>
            </w:r>
          </w:p>
          <w:p w:rsidR="00A0744B" w:rsidRDefault="00A0744B">
            <w:pPr>
              <w:spacing w:after="0" w:line="216" w:lineRule="auto"/>
              <w:ind w:firstLine="456"/>
              <w:jc w:val="both"/>
              <w:rPr>
                <w:rFonts w:ascii="Times New Roman" w:eastAsia="Times New Roman" w:hAnsi="Times New Roman" w:cs="Times New Roman"/>
                <w:b/>
                <w:i/>
                <w:sz w:val="28"/>
                <w:szCs w:val="28"/>
              </w:rPr>
            </w:pP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Аукціон з розподілу річної квоти підтримки проводиться за окремими альтернативними джерелами енергії, що визначені частиною сьомою цієї статті.</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8" w:name="bookmark=id.tyjcwt" w:colFirst="0" w:colLast="0"/>
            <w:bookmarkEnd w:id="8"/>
            <w:r>
              <w:rPr>
                <w:rFonts w:ascii="Times New Roman" w:eastAsia="Times New Roman" w:hAnsi="Times New Roman" w:cs="Times New Roman"/>
                <w:color w:val="000000"/>
                <w:sz w:val="28"/>
                <w:szCs w:val="28"/>
              </w:rPr>
              <w:lastRenderedPageBreak/>
              <w:t>Під час встановлення річної квоти підтримки Кабінет Міністрів України може прийняти рішення про проведення аукціонів з розподілу квот підтримки без розподілу за окремими альтернативними джерелами енергії (технологічно нейтральні аукціони).</w:t>
            </w:r>
          </w:p>
          <w:p w:rsidR="00A0744B" w:rsidRDefault="00A0744B">
            <w:pPr>
              <w:spacing w:after="60" w:line="216" w:lineRule="auto"/>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color w:val="000000"/>
                <w:sz w:val="28"/>
                <w:szCs w:val="28"/>
              </w:rPr>
            </w:pPr>
            <w:r>
              <w:rPr>
                <w:rFonts w:ascii="Times New Roman" w:eastAsia="Times New Roman" w:hAnsi="Times New Roman" w:cs="Times New Roman"/>
                <w:color w:val="000000"/>
                <w:sz w:val="28"/>
                <w:szCs w:val="28"/>
              </w:rPr>
              <w:t>&lt;…&gt;</w:t>
            </w:r>
          </w:p>
        </w:tc>
        <w:tc>
          <w:tcPr>
            <w:tcW w:w="5386" w:type="dxa"/>
          </w:tcPr>
          <w:p w:rsidR="00A0744B" w:rsidRDefault="00F2411E">
            <w:pPr>
              <w:pBdr>
                <w:top w:val="nil"/>
                <w:left w:val="nil"/>
                <w:bottom w:val="nil"/>
                <w:right w:val="nil"/>
                <w:between w:val="nil"/>
              </w:pBdr>
              <w:shd w:val="clear" w:color="auto" w:fill="FFFFFF"/>
              <w:spacing w:after="280" w:line="216" w:lineRule="auto"/>
              <w:ind w:firstLine="450"/>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color w:val="000000"/>
                <w:sz w:val="28"/>
                <w:szCs w:val="28"/>
              </w:rPr>
              <w:lastRenderedPageBreak/>
              <w:t>Аукціони з розподілу квоти підтримки</w:t>
            </w:r>
            <w:r>
              <w:rPr>
                <w:rFonts w:ascii="Times New Roman" w:eastAsia="Times New Roman" w:hAnsi="Times New Roman" w:cs="Times New Roman"/>
                <w:b/>
                <w:color w:val="000000"/>
                <w:sz w:val="28"/>
                <w:szCs w:val="28"/>
              </w:rPr>
              <w:t xml:space="preserve"> проводяться за окремими альтернативними джерелами енергії</w:t>
            </w:r>
            <w:r w:rsidR="00A24987">
              <w:rPr>
                <w:rFonts w:ascii="Times New Roman" w:eastAsia="Times New Roman" w:hAnsi="Times New Roman" w:cs="Times New Roman"/>
                <w:b/>
                <w:color w:val="000000"/>
                <w:sz w:val="28"/>
                <w:szCs w:val="28"/>
              </w:rPr>
              <w:t xml:space="preserve"> </w:t>
            </w:r>
            <w:r w:rsidR="00A24987" w:rsidRPr="00A24987">
              <w:rPr>
                <w:rFonts w:ascii="Times New Roman" w:eastAsia="Times New Roman" w:hAnsi="Times New Roman" w:cs="Times New Roman"/>
                <w:b/>
                <w:color w:val="000000"/>
                <w:sz w:val="28"/>
                <w:szCs w:val="28"/>
              </w:rPr>
              <w:t xml:space="preserve">(крім доменного та коксівного газів, а з </w:t>
            </w:r>
            <w:r w:rsidR="00A24987" w:rsidRPr="00A24987">
              <w:rPr>
                <w:rFonts w:ascii="Times New Roman" w:eastAsia="Times New Roman" w:hAnsi="Times New Roman" w:cs="Times New Roman"/>
                <w:b/>
                <w:color w:val="000000"/>
                <w:sz w:val="28"/>
                <w:szCs w:val="28"/>
              </w:rPr>
              <w:lastRenderedPageBreak/>
              <w:t>використанням гідроенергії - вироблену лише мікро-, міні- та малими гідроелектростанціями)</w:t>
            </w:r>
            <w:r>
              <w:rPr>
                <w:rFonts w:ascii="Times New Roman" w:eastAsia="Times New Roman" w:hAnsi="Times New Roman" w:cs="Times New Roman"/>
                <w:b/>
                <w:color w:val="000000"/>
                <w:sz w:val="28"/>
                <w:szCs w:val="28"/>
              </w:rPr>
              <w:t>.</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b/>
                <w:color w:val="000000"/>
                <w:sz w:val="28"/>
                <w:szCs w:val="28"/>
              </w:rPr>
            </w:pP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tc>
        <w:tc>
          <w:tcPr>
            <w:tcW w:w="4248" w:type="dxa"/>
          </w:tcPr>
          <w:p w:rsidR="00A0744B" w:rsidRDefault="00F2411E">
            <w:pPr>
              <w:spacing w:after="12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Чинна редакція Закону призводить до різних тлумачень при визначенні типів проведення аукціонів.</w:t>
            </w:r>
          </w:p>
          <w:p w:rsidR="00A0744B" w:rsidRDefault="00F2411E">
            <w:pPr>
              <w:spacing w:after="0" w:line="216" w:lineRule="auto"/>
              <w:ind w:firstLine="456"/>
              <w:jc w:val="both"/>
              <w:rPr>
                <w:rFonts w:ascii="Times New Roman" w:eastAsia="Times New Roman" w:hAnsi="Times New Roman" w:cs="Times New Roman"/>
                <w:sz w:val="28"/>
                <w:szCs w:val="28"/>
              </w:rPr>
            </w:pPr>
            <w:bookmarkStart w:id="9" w:name="_heading=h.2et92p0" w:colFirst="0" w:colLast="0"/>
            <w:bookmarkEnd w:id="9"/>
            <w:r>
              <w:rPr>
                <w:rFonts w:ascii="Times New Roman" w:eastAsia="Times New Roman" w:hAnsi="Times New Roman" w:cs="Times New Roman"/>
                <w:sz w:val="28"/>
                <w:szCs w:val="28"/>
              </w:rPr>
              <w:lastRenderedPageBreak/>
              <w:t>Так, наразі відсутня можливість проведення аукціонів за окремими видами альтернативних джерел енергії, таких, як біомаса, біогаз, малі гідроелектростанції. Тому, пропонується визначити можливість проведення аукціонів як за окремими альтернативними джерелами енергії, так і для інших видів крім СЕС та ВЕС разом.</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Аукціони запроваджуються з 1 липня 2019 року та проводяться по 31 грудня 2029 року. Аукціони з розподілу річних квот підтримки проводяться </w:t>
            </w:r>
            <w:r>
              <w:rPr>
                <w:rFonts w:ascii="Times New Roman" w:eastAsia="Times New Roman" w:hAnsi="Times New Roman" w:cs="Times New Roman"/>
                <w:b/>
                <w:color w:val="000000"/>
                <w:sz w:val="28"/>
                <w:szCs w:val="28"/>
              </w:rPr>
              <w:t>двічі на рік, не пізніше 1 квітня та 1 жовтня відповідного року</w:t>
            </w:r>
            <w:r>
              <w:rPr>
                <w:rFonts w:ascii="Times New Roman" w:eastAsia="Times New Roman" w:hAnsi="Times New Roman" w:cs="Times New Roman"/>
                <w:color w:val="000000"/>
                <w:sz w:val="28"/>
                <w:szCs w:val="28"/>
              </w:rPr>
              <w:t>.</w:t>
            </w: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Аукціони запроваджуються з 1 липня 2019 року та проводяться по 31 грудня 2029 року. Аукціони з розподілу річних квот підтримки проводяться </w:t>
            </w:r>
            <w:r>
              <w:rPr>
                <w:rFonts w:ascii="Times New Roman" w:eastAsia="Times New Roman" w:hAnsi="Times New Roman" w:cs="Times New Roman"/>
                <w:b/>
                <w:color w:val="000000"/>
                <w:sz w:val="28"/>
                <w:szCs w:val="28"/>
              </w:rPr>
              <w:t>згідно з графіком проведення аукціонів на відповідний рік</w:t>
            </w:r>
            <w:r>
              <w:rPr>
                <w:rFonts w:ascii="Times New Roman" w:eastAsia="Times New Roman" w:hAnsi="Times New Roman" w:cs="Times New Roman"/>
                <w:color w:val="000000"/>
                <w:sz w:val="28"/>
                <w:szCs w:val="28"/>
              </w:rPr>
              <w:t>.</w:t>
            </w:r>
          </w:p>
        </w:tc>
        <w:tc>
          <w:tcPr>
            <w:tcW w:w="4248" w:type="dxa"/>
          </w:tcPr>
          <w:p w:rsidR="00A0744B" w:rsidRDefault="00F2411E">
            <w:pPr>
              <w:pBdr>
                <w:top w:val="nil"/>
                <w:left w:val="nil"/>
                <w:bottom w:val="nil"/>
                <w:right w:val="nil"/>
                <w:between w:val="nil"/>
              </w:pBdr>
              <w:spacing w:line="216" w:lineRule="auto"/>
              <w:ind w:firstLine="483"/>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З метою підвищення гнучкості органів державної влади під час прийняття рішень стосовно організації аукціонів та забезпечення формування найбільш оптимальної стратегії їх проведення, пропонується проводити аукціони відповідно до графіку проведення аукціонів на відповідний рік, який буде </w:t>
            </w:r>
            <w:r>
              <w:rPr>
                <w:rFonts w:ascii="Times New Roman" w:eastAsia="Times New Roman" w:hAnsi="Times New Roman" w:cs="Times New Roman"/>
                <w:sz w:val="28"/>
                <w:szCs w:val="28"/>
              </w:rPr>
              <w:t>затверджуватись</w:t>
            </w:r>
            <w:r>
              <w:rPr>
                <w:rFonts w:ascii="Times New Roman" w:eastAsia="Times New Roman" w:hAnsi="Times New Roman" w:cs="Times New Roman"/>
                <w:color w:val="000000"/>
                <w:sz w:val="28"/>
                <w:szCs w:val="28"/>
              </w:rPr>
              <w:t xml:space="preserve"> Кабінетом Міністрів України. </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Для участі в аукціоні суб’єкти господарювання разом із заявою довільної форми обов’язково подають:</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безвідкличну банківську гарантію, надану на користь гарантованого покупця;</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копію документів, що посвідчують право власності чи користування земельною ділянкою, або копію договору </w:t>
            </w:r>
            <w:proofErr w:type="spellStart"/>
            <w:r>
              <w:rPr>
                <w:rFonts w:ascii="Times New Roman" w:eastAsia="Times New Roman" w:hAnsi="Times New Roman" w:cs="Times New Roman"/>
                <w:color w:val="000000"/>
                <w:sz w:val="28"/>
                <w:szCs w:val="28"/>
              </w:rPr>
              <w:t>суперфіцію</w:t>
            </w:r>
            <w:proofErr w:type="spellEnd"/>
            <w:r>
              <w:rPr>
                <w:rFonts w:ascii="Times New Roman" w:eastAsia="Times New Roman" w:hAnsi="Times New Roman" w:cs="Times New Roman"/>
                <w:color w:val="000000"/>
                <w:sz w:val="28"/>
                <w:szCs w:val="28"/>
              </w:rPr>
              <w:t xml:space="preserve"> для будівництва об’єкта електроенергетики для виробництва електричної енергії з альтернативних джерел енергії, у тому числі відповідної черги будівництва (пускового комплексу);</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копію договору про приєднання об’єкта електроенергетики для виробництва електричної енергії з альтернативних джерел енергії до електричних мереж;</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інформацію про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Якщо особа не має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зазначається інформація про відсутність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та причина його відсутності;</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витяг з Єдиного державного реєстру юридичних осіб, фізичних осіб - підприємців та громадських формувань;</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копії документів, що містять інформацію про органи управління суб’єкта господарювання та їх персональний склад;</w:t>
            </w:r>
          </w:p>
          <w:p w:rsidR="00A0744B" w:rsidRDefault="00F2411E">
            <w:pPr>
              <w:pBdr>
                <w:top w:val="nil"/>
                <w:left w:val="nil"/>
                <w:bottom w:val="nil"/>
                <w:right w:val="nil"/>
                <w:between w:val="nil"/>
              </w:pBdr>
              <w:shd w:val="clear" w:color="auto" w:fill="FFFFFF"/>
              <w:spacing w:after="60" w:line="216" w:lineRule="auto"/>
              <w:ind w:firstLine="450"/>
              <w:jc w:val="both"/>
              <w:rPr>
                <w:color w:val="000000"/>
                <w:sz w:val="28"/>
                <w:szCs w:val="28"/>
              </w:rPr>
            </w:pPr>
            <w:r>
              <w:rPr>
                <w:rFonts w:ascii="Times New Roman" w:eastAsia="Times New Roman" w:hAnsi="Times New Roman" w:cs="Times New Roman"/>
                <w:sz w:val="28"/>
                <w:szCs w:val="28"/>
              </w:rPr>
              <w:t xml:space="preserve">інформацію про осіб, пов’язаних із суб’єктом господарювання відносинами </w:t>
            </w:r>
            <w:r>
              <w:rPr>
                <w:rFonts w:ascii="Times New Roman" w:eastAsia="Times New Roman" w:hAnsi="Times New Roman" w:cs="Times New Roman"/>
                <w:sz w:val="28"/>
                <w:szCs w:val="28"/>
              </w:rPr>
              <w:lastRenderedPageBreak/>
              <w:t>контролю.</w:t>
            </w: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Для участі в аукціоні суб’єкти господарювання разом із заявою довільної форми обов’язково подають:</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безвідкличну банківську гарантію, надану на користь гарантованого покупця;</w:t>
            </w:r>
          </w:p>
          <w:p w:rsidR="00A0744B" w:rsidRDefault="00F2411E">
            <w:pPr>
              <w:pBdr>
                <w:top w:val="nil"/>
                <w:left w:val="nil"/>
                <w:bottom w:val="nil"/>
                <w:right w:val="nil"/>
                <w:between w:val="nil"/>
              </w:pBd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копію документів, що посвідчують право власності чи користування земельною ділянкою </w:t>
            </w:r>
            <w:r>
              <w:rPr>
                <w:rFonts w:ascii="Times New Roman" w:eastAsia="Times New Roman" w:hAnsi="Times New Roman" w:cs="Times New Roman"/>
                <w:b/>
                <w:color w:val="000000"/>
                <w:sz w:val="28"/>
                <w:szCs w:val="28"/>
              </w:rPr>
              <w:t>або дахом та/або фасадом будівлі та іншої капітальної споруди</w:t>
            </w:r>
            <w:r>
              <w:rPr>
                <w:rFonts w:ascii="Times New Roman" w:eastAsia="Times New Roman" w:hAnsi="Times New Roman" w:cs="Times New Roman"/>
                <w:color w:val="000000"/>
                <w:sz w:val="28"/>
                <w:szCs w:val="28"/>
              </w:rPr>
              <w:t xml:space="preserve">, або копію договору </w:t>
            </w:r>
            <w:proofErr w:type="spellStart"/>
            <w:r>
              <w:rPr>
                <w:rFonts w:ascii="Times New Roman" w:eastAsia="Times New Roman" w:hAnsi="Times New Roman" w:cs="Times New Roman"/>
                <w:color w:val="000000"/>
                <w:sz w:val="28"/>
                <w:szCs w:val="28"/>
              </w:rPr>
              <w:t>суперфіцію</w:t>
            </w:r>
            <w:proofErr w:type="spellEnd"/>
            <w:r>
              <w:rPr>
                <w:rFonts w:ascii="Times New Roman" w:eastAsia="Times New Roman" w:hAnsi="Times New Roman" w:cs="Times New Roman"/>
                <w:color w:val="000000"/>
                <w:sz w:val="28"/>
                <w:szCs w:val="28"/>
              </w:rPr>
              <w:t xml:space="preserve"> для будівництва об’єкта електроенергетики для виробництва електричної енергії з альтернативних джерел енергії, у тому числі відповідної черги будівництва (пускового комплексу);</w:t>
            </w:r>
          </w:p>
          <w:p w:rsidR="00A0744B" w:rsidRDefault="00F2411E">
            <w:pP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копію договору про приєднання об’єкта електроенергетики для виробництва електричної енергії з альтернативних джерел енергії до електричних мереж;</w:t>
            </w:r>
          </w:p>
          <w:p w:rsidR="00A0744B" w:rsidRDefault="00F2411E">
            <w:pP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інформацію про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Якщо особа не має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зазначається інформація про відсутність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та причина його відсутності;</w:t>
            </w:r>
          </w:p>
          <w:p w:rsidR="00A0744B" w:rsidRDefault="00F2411E">
            <w:pP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витяг з Єдиного державного реєстру юридичних осіб, фізичних осіб - підприємців та громадських формувань;</w:t>
            </w:r>
          </w:p>
          <w:p w:rsidR="00A0744B" w:rsidRDefault="00F2411E">
            <w:pP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копії документів, що містять інформацію про органи управління суб’єкта господарювання та їх </w:t>
            </w:r>
            <w:r>
              <w:rPr>
                <w:rFonts w:ascii="Times New Roman" w:eastAsia="Times New Roman" w:hAnsi="Times New Roman" w:cs="Times New Roman"/>
                <w:sz w:val="28"/>
                <w:szCs w:val="28"/>
              </w:rPr>
              <w:lastRenderedPageBreak/>
              <w:t>персональний склад;</w:t>
            </w:r>
          </w:p>
          <w:p w:rsidR="00A0744B" w:rsidRDefault="00F2411E">
            <w:pPr>
              <w:shd w:val="clear" w:color="auto" w:fill="FFFFFF"/>
              <w:spacing w:after="60" w:line="216"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інформацію про осіб, пов’язаних із суб’єктом господарювання відносинами контролю.</w:t>
            </w: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Чинною редакцією Закону не передбачена можливість участі в аукціонах сонячних електростанцій, розміщених на дахах.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Тому, пропонується розширити можливий перелік документів для участі в аукціоні, що дозволить приймати участь в аукціонах сонячним електростанціям розміщеним на дахах та/або фасадах будівель та інших капітальних споруд.</w:t>
            </w:r>
          </w:p>
          <w:p w:rsidR="00A0744B" w:rsidRDefault="00A0744B">
            <w:pPr>
              <w:spacing w:after="0" w:line="216" w:lineRule="auto"/>
              <w:ind w:firstLine="456"/>
              <w:jc w:val="both"/>
              <w:rPr>
                <w:rFonts w:ascii="Times New Roman" w:eastAsia="Times New Roman" w:hAnsi="Times New Roman" w:cs="Times New Roman"/>
                <w:sz w:val="28"/>
                <w:szCs w:val="28"/>
              </w:rPr>
            </w:pP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Учасники аукціону подають закриті пропозиції, що містять:</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w:t>
            </w:r>
            <w:proofErr w:type="spellStart"/>
            <w:r>
              <w:rPr>
                <w:rFonts w:ascii="Times New Roman" w:eastAsia="Times New Roman" w:hAnsi="Times New Roman" w:cs="Times New Roman"/>
                <w:color w:val="000000"/>
                <w:sz w:val="28"/>
                <w:szCs w:val="28"/>
              </w:rPr>
              <w:t>кВт•год</w:t>
            </w:r>
            <w:proofErr w:type="spellEnd"/>
            <w:r>
              <w:rPr>
                <w:rFonts w:ascii="Times New Roman" w:eastAsia="Times New Roman" w:hAnsi="Times New Roman" w:cs="Times New Roman"/>
                <w:color w:val="000000"/>
                <w:sz w:val="28"/>
                <w:szCs w:val="28"/>
              </w:rPr>
              <w:t>) з двома знаками після коми. Цінова пропозиція учасника аукціону не може бути вищою за рівень "зеленого" тарифу, встановленого відповідно до статті 9-1 цього Закону для об’єкта електроенергетики відповідної категорії, що діє на день проведення аукціону.</w:t>
            </w: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Учасники аукціону подають закриті пропозиції, що містять:</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w:t>
            </w:r>
          </w:p>
          <w:p w:rsidR="00A0744B" w:rsidRDefault="00F2411E">
            <w:pPr>
              <w:pBdr>
                <w:top w:val="nil"/>
                <w:left w:val="nil"/>
                <w:bottom w:val="nil"/>
                <w:right w:val="nil"/>
                <w:between w:val="nil"/>
              </w:pBdr>
              <w:spacing w:after="60" w:line="216" w:lineRule="auto"/>
              <w:ind w:firstLine="709"/>
              <w:jc w:val="both"/>
              <w:rPr>
                <w:rFonts w:ascii="Times New Roman" w:eastAsia="Times New Roman" w:hAnsi="Times New Roman" w:cs="Times New Roman"/>
                <w:b/>
                <w:color w:val="000000"/>
                <w:sz w:val="28"/>
                <w:szCs w:val="28"/>
              </w:rPr>
            </w:pPr>
            <w:bookmarkStart w:id="10" w:name="_heading=h.tyjcwt" w:colFirst="0" w:colLast="0"/>
            <w:bookmarkEnd w:id="10"/>
            <w:r>
              <w:rPr>
                <w:rFonts w:ascii="Times New Roman" w:eastAsia="Times New Roman" w:hAnsi="Times New Roman" w:cs="Times New Roman"/>
                <w:b/>
                <w:color w:val="000000"/>
                <w:sz w:val="28"/>
                <w:szCs w:val="28"/>
              </w:rPr>
              <w:t>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w:t>
            </w:r>
            <w:proofErr w:type="spellStart"/>
            <w:r>
              <w:rPr>
                <w:rFonts w:ascii="Times New Roman" w:eastAsia="Times New Roman" w:hAnsi="Times New Roman" w:cs="Times New Roman"/>
                <w:b/>
                <w:color w:val="000000"/>
                <w:sz w:val="28"/>
                <w:szCs w:val="28"/>
              </w:rPr>
              <w:t>кВт•год</w:t>
            </w:r>
            <w:proofErr w:type="spellEnd"/>
            <w:r>
              <w:rPr>
                <w:rFonts w:ascii="Times New Roman" w:eastAsia="Times New Roman" w:hAnsi="Times New Roman" w:cs="Times New Roman"/>
                <w:b/>
                <w:color w:val="000000"/>
                <w:sz w:val="28"/>
                <w:szCs w:val="28"/>
              </w:rPr>
              <w:t xml:space="preserve">)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9 євроцентів за 1 кіловат-годину – для аукціонів, що </w:t>
            </w:r>
            <w:r>
              <w:rPr>
                <w:rFonts w:ascii="Times New Roman" w:eastAsia="Times New Roman" w:hAnsi="Times New Roman" w:cs="Times New Roman"/>
                <w:b/>
                <w:color w:val="000000"/>
                <w:sz w:val="28"/>
                <w:szCs w:val="28"/>
              </w:rPr>
              <w:lastRenderedPageBreak/>
              <w:t>проводяться до 31 грудня 2024 року, та не може бути вищою за 8 євроцентів за 1 кіловат-годину – для аукціонів, що проводяться з 1 січня 2025 року.</w:t>
            </w: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Чинною редакцією Закону передбачено визначення максимального розміру цінової пропозиції учасника в залежності від категорії об’єкта електроенергетики, що визначена статтею 9-1 цього Закону.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Зазначене формулювання призводить до ускладнення перевірки гарантованим покупцем документів учасників, особливо СЕС і ВЕС, та створює можливості для маніпуляцій із документами, які подаються учасниками.</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Таким, чином пропонується визначити максимальний розмір цінової пропозиції учасника аукціону в залежності від виду альтернативного джерела енергії та вказати такий розмір у зазначеній частині цієї статті.</w:t>
            </w:r>
          </w:p>
          <w:p w:rsidR="00A0744B" w:rsidRDefault="00A0744B">
            <w:pPr>
              <w:spacing w:after="0" w:line="216" w:lineRule="auto"/>
              <w:ind w:firstLine="456"/>
              <w:jc w:val="both"/>
              <w:rPr>
                <w:rFonts w:ascii="Times New Roman" w:eastAsia="Times New Roman" w:hAnsi="Times New Roman" w:cs="Times New Roman"/>
                <w:sz w:val="28"/>
                <w:szCs w:val="28"/>
              </w:rPr>
            </w:pP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лише мікро-, міні- та малі гідроелектростанції), не може бути вищою за рівень "зеленого" тарифу, встановленого відповідно до статті 9-1 цього Закону для електроенергії, виробленої з біомаси, на 1 січня 2020 року.</w:t>
            </w:r>
          </w:p>
          <w:p w:rsidR="00A0744B" w:rsidRDefault="00A0744B">
            <w:pPr>
              <w:spacing w:after="60" w:line="216" w:lineRule="auto"/>
              <w:jc w:val="both"/>
              <w:rPr>
                <w:color w:val="000000"/>
                <w:sz w:val="28"/>
                <w:szCs w:val="28"/>
              </w:rPr>
            </w:pPr>
          </w:p>
        </w:tc>
        <w:tc>
          <w:tcPr>
            <w:tcW w:w="5386" w:type="dxa"/>
          </w:tcPr>
          <w:p w:rsidR="00A0744B" w:rsidRDefault="00F2411E">
            <w:pPr>
              <w:spacing w:after="60" w:line="216" w:lineRule="auto"/>
              <w:ind w:firstLine="272"/>
              <w:jc w:val="both"/>
              <w:rPr>
                <w:b/>
                <w:color w:val="000000"/>
                <w:sz w:val="28"/>
                <w:szCs w:val="28"/>
              </w:rPr>
            </w:pPr>
            <w:r>
              <w:rPr>
                <w:rFonts w:ascii="Times New Roman" w:eastAsia="Times New Roman" w:hAnsi="Times New Roman" w:cs="Times New Roman"/>
                <w:b/>
                <w:color w:val="000000"/>
                <w:sz w:val="28"/>
                <w:szCs w:val="28"/>
              </w:rPr>
              <w:t>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бути вищою за 12 євроцентів за 1 кіловат-годину</w:t>
            </w:r>
            <w:r>
              <w:rPr>
                <w:rFonts w:ascii="Times New Roman" w:eastAsia="Times New Roman" w:hAnsi="Times New Roman" w:cs="Times New Roman"/>
                <w:b/>
                <w:sz w:val="28"/>
                <w:szCs w:val="28"/>
              </w:rPr>
              <w:t>.</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зміни попередньої частини цієї статті, пропонується визначити розмір максимальної цінової пропозиції учасників аукціону, які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 час проведення аукціону здійснюється одночасне розкриття пропозицій усіх учасників аукціону. Критерієм вибору переможців аукціону з розподілу квоти підтримки є ціна, зазначена у закритій пропозиції. Учасники, які запропонували найменші цінові пропозиції у межах квоти відповідного виду альтернативного джерела енергії, що розподіляється на аукціоні, визнаються переможцями аукціону на заявлену ними величину потужності.</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w:t>
            </w:r>
            <w:r>
              <w:rPr>
                <w:rFonts w:ascii="Times New Roman" w:eastAsia="Times New Roman" w:hAnsi="Times New Roman" w:cs="Times New Roman"/>
                <w:b/>
                <w:sz w:val="28"/>
                <w:szCs w:val="28"/>
              </w:rPr>
              <w:t>ідно до порядку проведення аукціонів з розподілу квоти підтримки</w:t>
            </w:r>
            <w:r>
              <w:rPr>
                <w:rFonts w:ascii="Times New Roman" w:eastAsia="Times New Roman" w:hAnsi="Times New Roman" w:cs="Times New Roman"/>
                <w:b/>
                <w:color w:val="000000"/>
                <w:sz w:val="28"/>
                <w:szCs w:val="28"/>
              </w:rPr>
              <w:t xml:space="preserve">. Критерієм вибору переможців аукціону з розподілу квоти підтримки є ціна, зазначена у закритій пропозиції. Учасники, які запропонували найменші </w:t>
            </w:r>
            <w:r>
              <w:rPr>
                <w:rFonts w:ascii="Times New Roman" w:eastAsia="Times New Roman" w:hAnsi="Times New Roman" w:cs="Times New Roman"/>
                <w:b/>
                <w:color w:val="000000"/>
                <w:sz w:val="28"/>
                <w:szCs w:val="28"/>
              </w:rPr>
              <w:lastRenderedPageBreak/>
              <w:t>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Пропонується визначити обсяг інформації, яка відображається протягом проведення аукціону Порядком проведення аукціонів з розподілу квоти підтримки. Крім того, уточнити, що після завершення аукціону здійснюється одночасне розкриття усієї інформації наданої учасниками аукціону.</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80 відсотків сукупної величини потужності, запропонованої всіма учасниками </w:t>
            </w:r>
            <w:r>
              <w:rPr>
                <w:rFonts w:ascii="Times New Roman" w:eastAsia="Times New Roman" w:hAnsi="Times New Roman" w:cs="Times New Roman"/>
                <w:b/>
                <w:color w:val="000000"/>
                <w:sz w:val="28"/>
                <w:szCs w:val="28"/>
              </w:rPr>
              <w:t>аукціону з розподілу частини квоти щодо відповідного виду альтернативних джерел енергії</w:t>
            </w:r>
            <w:r>
              <w:rPr>
                <w:rFonts w:ascii="Times New Roman" w:eastAsia="Times New Roman" w:hAnsi="Times New Roman" w:cs="Times New Roman"/>
                <w:color w:val="000000"/>
                <w:sz w:val="28"/>
                <w:szCs w:val="28"/>
              </w:rPr>
              <w:t>.</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80 відсотків сукупної величини потужності, запропонованої всіма учасниками </w:t>
            </w:r>
            <w:r>
              <w:rPr>
                <w:rFonts w:ascii="Times New Roman" w:eastAsia="Times New Roman" w:hAnsi="Times New Roman" w:cs="Times New Roman"/>
                <w:b/>
                <w:color w:val="000000"/>
                <w:sz w:val="28"/>
                <w:szCs w:val="28"/>
              </w:rPr>
              <w:t>відповідного аукціону</w:t>
            </w:r>
            <w:r>
              <w:rPr>
                <w:rFonts w:ascii="Times New Roman" w:eastAsia="Times New Roman" w:hAnsi="Times New Roman" w:cs="Times New Roman"/>
                <w:color w:val="000000"/>
                <w:sz w:val="28"/>
                <w:szCs w:val="28"/>
              </w:rPr>
              <w:t>.</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b/>
                <w:color w:val="000000"/>
                <w:sz w:val="28"/>
                <w:szCs w:val="28"/>
              </w:rPr>
            </w:pP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Зазначене положення в існуючій редакції фактично унеможливлює проведення технологічно-нейтральних аукціонів, так як при їх проведенні 80 відсотків розраховуватиметься для кожного виду альтернативного джерела окремо в рамках одного аукціону.</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Пропонується унормувати дане положення та чітко визначити, що сумарний обсяг величини потужності від якої розраховується 80%, в рамках 1 аукціону, не залежно від виду альтернативного джерела.</w:t>
            </w:r>
            <w:r>
              <w:rPr>
                <w:rFonts w:ascii="Times New Roman" w:eastAsia="Times New Roman" w:hAnsi="Times New Roman" w:cs="Times New Roman"/>
                <w:sz w:val="28"/>
                <w:szCs w:val="28"/>
              </w:rPr>
              <w:tab/>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 результатами проведених у відповідному році аукціонів з розподілу річної квоти підтримки суб’єкт господарювання самостійно або разом з іншими суб’єктами господарювання, з якими має спільного кінцевого </w:t>
            </w:r>
            <w:proofErr w:type="spellStart"/>
            <w:r>
              <w:rPr>
                <w:rFonts w:ascii="Times New Roman" w:eastAsia="Times New Roman" w:hAnsi="Times New Roman" w:cs="Times New Roman"/>
                <w:color w:val="000000"/>
                <w:sz w:val="28"/>
                <w:szCs w:val="28"/>
              </w:rPr>
              <w:t>бенефіціарного</w:t>
            </w:r>
            <w:proofErr w:type="spellEnd"/>
            <w:r>
              <w:rPr>
                <w:rFonts w:ascii="Times New Roman" w:eastAsia="Times New Roman" w:hAnsi="Times New Roman" w:cs="Times New Roman"/>
                <w:color w:val="000000"/>
                <w:sz w:val="28"/>
                <w:szCs w:val="28"/>
              </w:rPr>
              <w:t xml:space="preserve"> власника (контролера), має право отримати не більше 25 відсотків обсягу річної квоти підтримки на відповідний рік.</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За результатами проведених у відповідному році аукціонів з розподілу річної квоти підтримки суб’єкт господарювання самостійно або разом з іншими суб’єктами господарювання, з якими має спільного кінцевого </w:t>
            </w:r>
            <w:proofErr w:type="spellStart"/>
            <w:r>
              <w:rPr>
                <w:rFonts w:ascii="Times New Roman" w:eastAsia="Times New Roman" w:hAnsi="Times New Roman" w:cs="Times New Roman"/>
                <w:color w:val="000000"/>
                <w:sz w:val="28"/>
                <w:szCs w:val="28"/>
              </w:rPr>
              <w:t>бенефіціарного</w:t>
            </w:r>
            <w:proofErr w:type="spellEnd"/>
            <w:r>
              <w:rPr>
                <w:rFonts w:ascii="Times New Roman" w:eastAsia="Times New Roman" w:hAnsi="Times New Roman" w:cs="Times New Roman"/>
                <w:color w:val="000000"/>
                <w:sz w:val="28"/>
                <w:szCs w:val="28"/>
              </w:rPr>
              <w:t xml:space="preserve"> власника (контролера), має право отримати не більше </w:t>
            </w:r>
            <w:r>
              <w:rPr>
                <w:rFonts w:ascii="Times New Roman" w:eastAsia="Times New Roman" w:hAnsi="Times New Roman" w:cs="Times New Roman"/>
                <w:b/>
                <w:color w:val="000000"/>
                <w:sz w:val="28"/>
                <w:szCs w:val="28"/>
              </w:rPr>
              <w:t>35 відсотків</w:t>
            </w:r>
            <w:r>
              <w:rPr>
                <w:rFonts w:ascii="Times New Roman" w:eastAsia="Times New Roman" w:hAnsi="Times New Roman" w:cs="Times New Roman"/>
                <w:color w:val="000000"/>
                <w:sz w:val="28"/>
                <w:szCs w:val="28"/>
              </w:rPr>
              <w:t xml:space="preserve"> обсягу річної квоти підтримки на відповідний рік.</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4248" w:type="dxa"/>
          </w:tcPr>
          <w:p w:rsidR="00A0744B" w:rsidRDefault="00F2411E">
            <w:pPr>
              <w:spacing w:after="0" w:line="216" w:lineRule="auto"/>
              <w:ind w:firstLine="456"/>
              <w:jc w:val="both"/>
              <w:rPr>
                <w:rFonts w:ascii="Times New Roman" w:eastAsia="Times New Roman" w:hAnsi="Times New Roman" w:cs="Times New Roman"/>
                <w:color w:val="000000"/>
                <w:sz w:val="28"/>
                <w:szCs w:val="28"/>
              </w:rPr>
            </w:pPr>
            <w:bookmarkStart w:id="11" w:name="_heading=h.4d34og8" w:colFirst="0" w:colLast="0"/>
            <w:bookmarkEnd w:id="11"/>
            <w:r>
              <w:rPr>
                <w:rFonts w:ascii="Times New Roman" w:eastAsia="Times New Roman" w:hAnsi="Times New Roman" w:cs="Times New Roman"/>
                <w:sz w:val="28"/>
                <w:szCs w:val="28"/>
              </w:rPr>
              <w:lastRenderedPageBreak/>
              <w:t xml:space="preserve">Чинною редакцією закону передбачено обмеження на отримання 25% </w:t>
            </w:r>
            <w:r>
              <w:rPr>
                <w:rFonts w:ascii="Times New Roman" w:eastAsia="Times New Roman" w:hAnsi="Times New Roman" w:cs="Times New Roman"/>
                <w:color w:val="000000"/>
                <w:sz w:val="28"/>
                <w:szCs w:val="28"/>
              </w:rPr>
              <w:t xml:space="preserve">обсягу річної квоти підтримки на відповідний рік одним </w:t>
            </w:r>
            <w:proofErr w:type="spellStart"/>
            <w:r>
              <w:rPr>
                <w:rFonts w:ascii="Times New Roman" w:eastAsia="Times New Roman" w:hAnsi="Times New Roman" w:cs="Times New Roman"/>
                <w:color w:val="000000"/>
                <w:sz w:val="28"/>
                <w:szCs w:val="28"/>
              </w:rPr>
              <w:t>бенефіціарним</w:t>
            </w:r>
            <w:proofErr w:type="spellEnd"/>
            <w:r>
              <w:rPr>
                <w:rFonts w:ascii="Times New Roman" w:eastAsia="Times New Roman" w:hAnsi="Times New Roman" w:cs="Times New Roman"/>
                <w:color w:val="000000"/>
                <w:sz w:val="28"/>
                <w:szCs w:val="28"/>
              </w:rPr>
              <w:t xml:space="preserve"> власником (контролером).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Слід зазначити, що встановлення обмеження в зазначених обсягах, може призвести до </w:t>
            </w:r>
            <w:proofErr w:type="spellStart"/>
            <w:r>
              <w:rPr>
                <w:rFonts w:ascii="Times New Roman" w:eastAsia="Times New Roman" w:hAnsi="Times New Roman" w:cs="Times New Roman"/>
                <w:color w:val="000000"/>
                <w:sz w:val="28"/>
                <w:szCs w:val="28"/>
              </w:rPr>
              <w:t>необгрунтованої</w:t>
            </w:r>
            <w:proofErr w:type="spellEnd"/>
            <w:r>
              <w:rPr>
                <w:rFonts w:ascii="Times New Roman" w:eastAsia="Times New Roman" w:hAnsi="Times New Roman" w:cs="Times New Roman"/>
                <w:color w:val="000000"/>
                <w:sz w:val="28"/>
                <w:szCs w:val="28"/>
              </w:rPr>
              <w:t xml:space="preserve"> дискваліфікації потенційних </w:t>
            </w:r>
            <w:r>
              <w:rPr>
                <w:rFonts w:ascii="Times New Roman" w:eastAsia="Times New Roman" w:hAnsi="Times New Roman" w:cs="Times New Roman"/>
                <w:color w:val="000000"/>
                <w:sz w:val="28"/>
                <w:szCs w:val="28"/>
              </w:rPr>
              <w:lastRenderedPageBreak/>
              <w:t xml:space="preserve">переможців аукціону, які запропонують більш привабливі - нижчі цінові пропозиції. Водночас, зазначена норма може призвести до оскаржень у судах результатів аукціонів, учасниками, які потенційно можуть бути дискваліфіковані.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Разом з тим, відповідно до частини другої статі 12 Закону України «Про захист економічної конкуренції», монопольним (домінуючим) вважається становище суб’єкта господарювання, частка якого на ринку товару перевищує 35 відсотків, якщо він не доведе, що зазнає значної конкуренції</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Враховуючи викладене, пропонується визначити частку річної квоти підтримки, яку може отримати один кінцевий </w:t>
            </w:r>
            <w:proofErr w:type="spellStart"/>
            <w:r>
              <w:rPr>
                <w:rFonts w:ascii="Times New Roman" w:eastAsia="Times New Roman" w:hAnsi="Times New Roman" w:cs="Times New Roman"/>
                <w:color w:val="000000"/>
                <w:sz w:val="28"/>
                <w:szCs w:val="28"/>
              </w:rPr>
              <w:t>бенефіціарний</w:t>
            </w:r>
            <w:proofErr w:type="spellEnd"/>
            <w:r>
              <w:rPr>
                <w:rFonts w:ascii="Times New Roman" w:eastAsia="Times New Roman" w:hAnsi="Times New Roman" w:cs="Times New Roman"/>
                <w:color w:val="000000"/>
                <w:sz w:val="28"/>
                <w:szCs w:val="28"/>
              </w:rPr>
              <w:t xml:space="preserve"> власник (контролер) за один календарний рік, у розмірі 35 відсотків.</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lastRenderedPageBreak/>
              <w:t>Протокол про результати аукціону формується автоматично та оприлюднюється в електронній формі електронною торговою системою в день завершення аукціону.</w:t>
            </w:r>
          </w:p>
        </w:tc>
        <w:tc>
          <w:tcPr>
            <w:tcW w:w="5386" w:type="dxa"/>
          </w:tcPr>
          <w:p w:rsidR="00A0744B" w:rsidRDefault="00F2411E">
            <w:pPr>
              <w:shd w:val="clear" w:color="auto" w:fill="FFFFFF"/>
              <w:spacing w:after="60" w:line="216"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sz w:val="28"/>
                <w:szCs w:val="28"/>
              </w:rPr>
              <w:t xml:space="preserve">Протокол </w:t>
            </w:r>
            <w:r>
              <w:rPr>
                <w:rFonts w:ascii="Times New Roman" w:eastAsia="Times New Roman" w:hAnsi="Times New Roman" w:cs="Times New Roman"/>
                <w:b/>
                <w:sz w:val="28"/>
                <w:szCs w:val="28"/>
              </w:rPr>
              <w:t>розкриття пропозицій</w:t>
            </w:r>
            <w:r>
              <w:rPr>
                <w:rFonts w:ascii="Times New Roman" w:eastAsia="Times New Roman" w:hAnsi="Times New Roman" w:cs="Times New Roman"/>
                <w:sz w:val="28"/>
                <w:szCs w:val="28"/>
              </w:rPr>
              <w:t xml:space="preserve"> формується автоматично та оприлюднюється в електронній формі електронною торговою системою в день завершення аукціону. </w:t>
            </w:r>
            <w:r>
              <w:rPr>
                <w:rFonts w:ascii="Times New Roman" w:eastAsia="Times New Roman" w:hAnsi="Times New Roman" w:cs="Times New Roman"/>
                <w:b/>
                <w:sz w:val="28"/>
                <w:szCs w:val="28"/>
              </w:rPr>
              <w:t xml:space="preserve">Після перевірки гарантованим покупцем поданих учасниками документів і відомостей, але не пізніше 10 робочих днів з дня </w:t>
            </w:r>
            <w:r>
              <w:rPr>
                <w:rFonts w:ascii="Times New Roman" w:eastAsia="Times New Roman" w:hAnsi="Times New Roman" w:cs="Times New Roman"/>
                <w:b/>
                <w:sz w:val="28"/>
                <w:szCs w:val="28"/>
              </w:rPr>
              <w:lastRenderedPageBreak/>
              <w:t>завершення аукціону формується автоматично та оприлюднюється протокол про результати аукціону.</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Визначення окремих типів протоколів, зокрема про розкриття інформації після завершення аукціону та про результати аукціону після проведення перевірки гарантованим покупцем.</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Переможець аукціону, який відмовився від підписання протоколу аукціону, укладення договору з гарантованим покупцем, позбавляється права на участь у подальших аукціонах строком на один рік.</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p w:rsidR="00A0744B" w:rsidRDefault="00A0744B">
            <w:pPr>
              <w:spacing w:after="60" w:line="216" w:lineRule="auto"/>
              <w:jc w:val="both"/>
              <w:rPr>
                <w:rFonts w:ascii="Times New Roman" w:eastAsia="Times New Roman" w:hAnsi="Times New Roman" w:cs="Times New Roman"/>
                <w:color w:val="000000"/>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Переможець аукціону, який відмовився від підписання протоколу </w:t>
            </w:r>
            <w:r>
              <w:rPr>
                <w:rFonts w:ascii="Times New Roman" w:eastAsia="Times New Roman" w:hAnsi="Times New Roman" w:cs="Times New Roman"/>
                <w:b/>
                <w:color w:val="000000"/>
                <w:sz w:val="28"/>
                <w:szCs w:val="28"/>
              </w:rPr>
              <w:t>про результати</w:t>
            </w:r>
            <w:r>
              <w:rPr>
                <w:rFonts w:ascii="Times New Roman" w:eastAsia="Times New Roman" w:hAnsi="Times New Roman" w:cs="Times New Roman"/>
                <w:color w:val="000000"/>
                <w:sz w:val="28"/>
                <w:szCs w:val="28"/>
              </w:rPr>
              <w:t xml:space="preserve"> аукціону, укладення договору з гарантованим покупцем, позбавляється права на участь у подальших аукціонах строком на один рік </w:t>
            </w:r>
            <w:r>
              <w:rPr>
                <w:rFonts w:ascii="Times New Roman" w:eastAsia="Times New Roman" w:hAnsi="Times New Roman" w:cs="Times New Roman"/>
                <w:b/>
                <w:color w:val="000000"/>
                <w:sz w:val="28"/>
                <w:szCs w:val="28"/>
              </w:rPr>
              <w:t>з дня оприлюднення в електронній торговій системі гарантованим покупцем відповідного акту</w:t>
            </w:r>
            <w:r>
              <w:rPr>
                <w:rFonts w:ascii="Times New Roman" w:eastAsia="Times New Roman" w:hAnsi="Times New Roman" w:cs="Times New Roman"/>
                <w:color w:val="000000"/>
                <w:sz w:val="28"/>
                <w:szCs w:val="28"/>
              </w:rPr>
              <w:t>.</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Чинною редакцією Закону не визначено момент початку позбавлення права на участь в аукціонах у разі відмови переможця аукціону від підписання протоколу, укладення договору. </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визначити день оприлюднення в електронній торговій системі гарантованим покупцем відповідного акту про відмову, як момент початку позбавлення права на участь в аукціонах.</w:t>
            </w:r>
          </w:p>
        </w:tc>
      </w:tr>
      <w:tr w:rsidR="00A0744B">
        <w:tc>
          <w:tcPr>
            <w:tcW w:w="5499" w:type="dxa"/>
          </w:tcPr>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Підставою для відмови гарантованого покупця від підписання протоколу, укладення договору з переможцем аукціону може бути виключно:</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неподання суб’єктом господарювання документів або відомостей, передбачених цим Законом та порядком проведення аукціонів;</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надання суб’єктом господарювання недостовірної інформації у поданих документах;</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нерозкриття</w:t>
            </w:r>
            <w:proofErr w:type="spellEnd"/>
            <w:r>
              <w:rPr>
                <w:rFonts w:ascii="Times New Roman" w:eastAsia="Times New Roman" w:hAnsi="Times New Roman" w:cs="Times New Roman"/>
                <w:sz w:val="28"/>
                <w:szCs w:val="28"/>
              </w:rPr>
              <w:t xml:space="preserve"> або неповне розкриття суб’єктом господарювання інформації про кінцевих </w:t>
            </w:r>
            <w:proofErr w:type="spellStart"/>
            <w:r>
              <w:rPr>
                <w:rFonts w:ascii="Times New Roman" w:eastAsia="Times New Roman" w:hAnsi="Times New Roman" w:cs="Times New Roman"/>
                <w:sz w:val="28"/>
                <w:szCs w:val="28"/>
              </w:rPr>
              <w:t>бенефіціарних</w:t>
            </w:r>
            <w:proofErr w:type="spellEnd"/>
            <w:r>
              <w:rPr>
                <w:rFonts w:ascii="Times New Roman" w:eastAsia="Times New Roman" w:hAnsi="Times New Roman" w:cs="Times New Roman"/>
                <w:sz w:val="28"/>
                <w:szCs w:val="28"/>
              </w:rPr>
              <w:t xml:space="preserve"> власників;</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w:t>
            </w:r>
            <w:hyperlink r:id="rId8">
              <w:r>
                <w:rPr>
                  <w:rFonts w:ascii="Times New Roman" w:eastAsia="Times New Roman" w:hAnsi="Times New Roman" w:cs="Times New Roman"/>
                  <w:sz w:val="28"/>
                  <w:szCs w:val="28"/>
                </w:rPr>
                <w:t>Законом України</w:t>
              </w:r>
            </w:hyperlink>
            <w:r>
              <w:rPr>
                <w:rFonts w:ascii="Times New Roman" w:eastAsia="Times New Roman" w:hAnsi="Times New Roman" w:cs="Times New Roman"/>
                <w:sz w:val="28"/>
                <w:szCs w:val="28"/>
              </w:rPr>
              <w:t xml:space="preserve"> "Про санкції" та нормативно-правовими актами, прийнятими відповідно до зазначеного Закону;</w:t>
            </w:r>
          </w:p>
          <w:p w:rsidR="00A0744B" w:rsidRDefault="00F2411E">
            <w:pPr>
              <w:shd w:val="clear" w:color="auto" w:fill="FFFFFF"/>
              <w:spacing w:line="216" w:lineRule="auto"/>
              <w:ind w:firstLine="46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w:t>
            </w:r>
            <w:proofErr w:type="spellStart"/>
            <w:r>
              <w:rPr>
                <w:rFonts w:ascii="Times New Roman" w:eastAsia="Times New Roman" w:hAnsi="Times New Roman" w:cs="Times New Roman"/>
                <w:sz w:val="28"/>
                <w:szCs w:val="28"/>
              </w:rPr>
              <w:t>бенефіціарного</w:t>
            </w:r>
            <w:proofErr w:type="spellEnd"/>
            <w:r>
              <w:rPr>
                <w:rFonts w:ascii="Times New Roman" w:eastAsia="Times New Roman" w:hAnsi="Times New Roman" w:cs="Times New Roman"/>
                <w:sz w:val="28"/>
                <w:szCs w:val="28"/>
              </w:rPr>
              <w:t xml:space="preserve"> власника (контролера), набуває право більш як на 25 відсотків обсягу річної квоти підтримки на відповідний рік.</w:t>
            </w:r>
          </w:p>
        </w:tc>
        <w:tc>
          <w:tcPr>
            <w:tcW w:w="5386"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Підставою для відмови гарантованого покупця від підписання протоколу</w:t>
            </w:r>
            <w:r>
              <w:rPr>
                <w:rFonts w:ascii="Times New Roman" w:eastAsia="Times New Roman" w:hAnsi="Times New Roman" w:cs="Times New Roman"/>
                <w:b/>
                <w:color w:val="000000"/>
                <w:sz w:val="28"/>
                <w:szCs w:val="28"/>
              </w:rPr>
              <w:t xml:space="preserve"> про результати аукціону</w:t>
            </w:r>
            <w:r>
              <w:rPr>
                <w:rFonts w:ascii="Times New Roman" w:eastAsia="Times New Roman" w:hAnsi="Times New Roman" w:cs="Times New Roman"/>
                <w:color w:val="000000"/>
                <w:sz w:val="28"/>
                <w:szCs w:val="28"/>
              </w:rPr>
              <w:t>, укладення договору з переможцем аукціону може бути виключно:</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неподання суб’єктом господарювання документів або відомостей, передбачених цим Законом та порядком проведення аукціонів </w:t>
            </w:r>
            <w:r>
              <w:rPr>
                <w:rFonts w:ascii="Times New Roman" w:eastAsia="Times New Roman" w:hAnsi="Times New Roman" w:cs="Times New Roman"/>
                <w:b/>
                <w:sz w:val="28"/>
                <w:szCs w:val="28"/>
              </w:rPr>
              <w:t>з розподілу квоти підтримки</w:t>
            </w:r>
            <w:r>
              <w:rPr>
                <w:rFonts w:ascii="Times New Roman" w:eastAsia="Times New Roman" w:hAnsi="Times New Roman" w:cs="Times New Roman"/>
                <w:sz w:val="28"/>
                <w:szCs w:val="28"/>
              </w:rPr>
              <w:t>;</w:t>
            </w:r>
          </w:p>
          <w:p w:rsidR="00A0744B" w:rsidRDefault="00F2411E">
            <w:pPr>
              <w:spacing w:after="60" w:line="216" w:lineRule="auto"/>
              <w:ind w:firstLine="2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надання суб’єктом господарювання  недостовірної інформації </w:t>
            </w:r>
            <w:r>
              <w:rPr>
                <w:rFonts w:ascii="Times New Roman" w:eastAsia="Times New Roman" w:hAnsi="Times New Roman" w:cs="Times New Roman"/>
                <w:b/>
                <w:sz w:val="28"/>
                <w:szCs w:val="28"/>
              </w:rPr>
              <w:t>у документах або відомостях, або якщо їх зміст не відповідає вимогам цього Закону та порядку проведення аукціонів з розподілу квоти підтримки</w:t>
            </w:r>
            <w:r>
              <w:rPr>
                <w:rFonts w:ascii="Times New Roman" w:eastAsia="Times New Roman" w:hAnsi="Times New Roman" w:cs="Times New Roman"/>
                <w:sz w:val="28"/>
                <w:szCs w:val="28"/>
              </w:rPr>
              <w:t>;</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lastRenderedPageBreak/>
              <w:t>нерозкриття</w:t>
            </w:r>
            <w:proofErr w:type="spellEnd"/>
            <w:r>
              <w:rPr>
                <w:rFonts w:ascii="Times New Roman" w:eastAsia="Times New Roman" w:hAnsi="Times New Roman" w:cs="Times New Roman"/>
                <w:sz w:val="28"/>
                <w:szCs w:val="28"/>
              </w:rPr>
              <w:t xml:space="preserve"> або неповне розкриття суб’єктом господарювання інформації про кінцевих </w:t>
            </w:r>
            <w:proofErr w:type="spellStart"/>
            <w:r>
              <w:rPr>
                <w:rFonts w:ascii="Times New Roman" w:eastAsia="Times New Roman" w:hAnsi="Times New Roman" w:cs="Times New Roman"/>
                <w:sz w:val="28"/>
                <w:szCs w:val="28"/>
              </w:rPr>
              <w:t>бенефіціарних</w:t>
            </w:r>
            <w:proofErr w:type="spellEnd"/>
            <w:r>
              <w:rPr>
                <w:rFonts w:ascii="Times New Roman" w:eastAsia="Times New Roman" w:hAnsi="Times New Roman" w:cs="Times New Roman"/>
                <w:sz w:val="28"/>
                <w:szCs w:val="28"/>
              </w:rPr>
              <w:t xml:space="preserve"> власників;</w:t>
            </w:r>
          </w:p>
          <w:p w:rsidR="00A0744B" w:rsidRDefault="00F2411E">
            <w:pPr>
              <w:shd w:val="clear" w:color="auto" w:fill="FFFFFF"/>
              <w:spacing w:line="21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w:t>
            </w:r>
            <w:hyperlink r:id="rId9">
              <w:r>
                <w:rPr>
                  <w:rFonts w:ascii="Times New Roman" w:eastAsia="Times New Roman" w:hAnsi="Times New Roman" w:cs="Times New Roman"/>
                  <w:sz w:val="28"/>
                  <w:szCs w:val="28"/>
                </w:rPr>
                <w:t>Законом України</w:t>
              </w:r>
            </w:hyperlink>
            <w:r>
              <w:rPr>
                <w:rFonts w:ascii="Times New Roman" w:eastAsia="Times New Roman" w:hAnsi="Times New Roman" w:cs="Times New Roman"/>
                <w:sz w:val="28"/>
                <w:szCs w:val="28"/>
              </w:rPr>
              <w:t xml:space="preserve"> "Про санкції" та нормативно-правовими актами, прийнятими відповідно до зазначеного Закону;</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w:t>
            </w:r>
            <w:proofErr w:type="spellStart"/>
            <w:r>
              <w:rPr>
                <w:rFonts w:ascii="Times New Roman" w:eastAsia="Times New Roman" w:hAnsi="Times New Roman" w:cs="Times New Roman"/>
                <w:color w:val="000000"/>
                <w:sz w:val="28"/>
                <w:szCs w:val="28"/>
              </w:rPr>
              <w:t>бенефіціарного</w:t>
            </w:r>
            <w:proofErr w:type="spellEnd"/>
            <w:r>
              <w:rPr>
                <w:rFonts w:ascii="Times New Roman" w:eastAsia="Times New Roman" w:hAnsi="Times New Roman" w:cs="Times New Roman"/>
                <w:color w:val="000000"/>
                <w:sz w:val="28"/>
                <w:szCs w:val="28"/>
              </w:rPr>
              <w:t xml:space="preserve"> власника (контролера), набуває право більш як на </w:t>
            </w:r>
            <w:r>
              <w:rPr>
                <w:rFonts w:ascii="Times New Roman" w:eastAsia="Times New Roman" w:hAnsi="Times New Roman" w:cs="Times New Roman"/>
                <w:b/>
                <w:color w:val="000000"/>
                <w:sz w:val="28"/>
                <w:szCs w:val="28"/>
              </w:rPr>
              <w:t>35 відсотків</w:t>
            </w:r>
            <w:r>
              <w:rPr>
                <w:rFonts w:ascii="Times New Roman" w:eastAsia="Times New Roman" w:hAnsi="Times New Roman" w:cs="Times New Roman"/>
                <w:color w:val="000000"/>
                <w:sz w:val="28"/>
                <w:szCs w:val="28"/>
              </w:rPr>
              <w:t xml:space="preserve"> обсягу річної квоти підтримки на відповідний рік.</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Приведення положень до вимог Закону.</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Чинною редакцією закону передбачено обмеження на отримання 25% </w:t>
            </w:r>
            <w:r>
              <w:rPr>
                <w:rFonts w:ascii="Times New Roman" w:eastAsia="Times New Roman" w:hAnsi="Times New Roman" w:cs="Times New Roman"/>
                <w:color w:val="000000"/>
                <w:sz w:val="28"/>
                <w:szCs w:val="28"/>
              </w:rPr>
              <w:t xml:space="preserve">обсягу річної квоти підтримки на відповідний рік одним </w:t>
            </w:r>
            <w:proofErr w:type="spellStart"/>
            <w:r>
              <w:rPr>
                <w:rFonts w:ascii="Times New Roman" w:eastAsia="Times New Roman" w:hAnsi="Times New Roman" w:cs="Times New Roman"/>
                <w:color w:val="000000"/>
                <w:sz w:val="28"/>
                <w:szCs w:val="28"/>
              </w:rPr>
              <w:t>бенефіціарним</w:t>
            </w:r>
            <w:proofErr w:type="spellEnd"/>
            <w:r>
              <w:rPr>
                <w:rFonts w:ascii="Times New Roman" w:eastAsia="Times New Roman" w:hAnsi="Times New Roman" w:cs="Times New Roman"/>
                <w:color w:val="000000"/>
                <w:sz w:val="28"/>
                <w:szCs w:val="28"/>
              </w:rPr>
              <w:t xml:space="preserve"> власником (контролером).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Слід зазначити, що встановлення обмеження в зазначених обсягах, може призвести до </w:t>
            </w:r>
            <w:proofErr w:type="spellStart"/>
            <w:r>
              <w:rPr>
                <w:rFonts w:ascii="Times New Roman" w:eastAsia="Times New Roman" w:hAnsi="Times New Roman" w:cs="Times New Roman"/>
                <w:color w:val="000000"/>
                <w:sz w:val="28"/>
                <w:szCs w:val="28"/>
              </w:rPr>
              <w:t>необгрунтованої</w:t>
            </w:r>
            <w:proofErr w:type="spellEnd"/>
            <w:r>
              <w:rPr>
                <w:rFonts w:ascii="Times New Roman" w:eastAsia="Times New Roman" w:hAnsi="Times New Roman" w:cs="Times New Roman"/>
                <w:color w:val="000000"/>
                <w:sz w:val="28"/>
                <w:szCs w:val="28"/>
              </w:rPr>
              <w:t xml:space="preserve"> дискваліфікації потенційних переможців аукціону, які запропонують більш привабливі - нижчі цінові пропозиції. </w:t>
            </w:r>
            <w:r>
              <w:rPr>
                <w:rFonts w:ascii="Times New Roman" w:eastAsia="Times New Roman" w:hAnsi="Times New Roman" w:cs="Times New Roman"/>
                <w:color w:val="000000"/>
                <w:sz w:val="28"/>
                <w:szCs w:val="28"/>
              </w:rPr>
              <w:lastRenderedPageBreak/>
              <w:t xml:space="preserve">Водночас, зазначена норма може призвести до оскаржень у судах результатів аукціонів, учасниками, які потенційно можуть бути дискваліфіковані. </w:t>
            </w:r>
          </w:p>
          <w:p w:rsidR="00A0744B" w:rsidRDefault="00F2411E">
            <w:pP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Разом з тим, відповідно до частини другої статі 12 Закону України «Про захист економічної конкуренції», монопольним (домінуючим) вважається становище суб’єкта господарювання, частка якого на ринку товару перевищує 35 відсотків, якщо він не доведе, що зазнає значної конкуренції</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Враховуючи викладене, пропонується визначити частку річної квоти підтримки, яку може отримати один кінцевий </w:t>
            </w:r>
            <w:proofErr w:type="spellStart"/>
            <w:r>
              <w:rPr>
                <w:rFonts w:ascii="Times New Roman" w:eastAsia="Times New Roman" w:hAnsi="Times New Roman" w:cs="Times New Roman"/>
                <w:color w:val="000000"/>
                <w:sz w:val="28"/>
                <w:szCs w:val="28"/>
              </w:rPr>
              <w:t>бенефіціарний</w:t>
            </w:r>
            <w:proofErr w:type="spellEnd"/>
            <w:r>
              <w:rPr>
                <w:rFonts w:ascii="Times New Roman" w:eastAsia="Times New Roman" w:hAnsi="Times New Roman" w:cs="Times New Roman"/>
                <w:color w:val="000000"/>
                <w:sz w:val="28"/>
                <w:szCs w:val="28"/>
              </w:rPr>
              <w:t xml:space="preserve"> власник (контролер) за один календарний рік, у розмірі 35 відсотків.</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w:t>
            </w: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та сплачує винагороду оператору електронного майданчика, через якого переможець брав участь в аукціоні.</w:t>
            </w:r>
            <w:r>
              <w:rPr>
                <w:rFonts w:ascii="Times New Roman" w:eastAsia="Times New Roman" w:hAnsi="Times New Roman" w:cs="Times New Roman"/>
                <w:color w:val="000000"/>
                <w:sz w:val="28"/>
                <w:szCs w:val="28"/>
              </w:rPr>
              <w:t xml:space="preserve"> Розмір безвідкличної банківської гарантії, виданої як забезпечення </w:t>
            </w:r>
            <w:r>
              <w:rPr>
                <w:rFonts w:ascii="Times New Roman" w:eastAsia="Times New Roman" w:hAnsi="Times New Roman" w:cs="Times New Roman"/>
                <w:color w:val="000000"/>
                <w:sz w:val="28"/>
                <w:szCs w:val="28"/>
              </w:rPr>
              <w:lastRenderedPageBreak/>
              <w:t>виконання зобов’язань за договором, становить 15 євро за кожний кіловат потужності.</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5386" w:type="dxa"/>
          </w:tcPr>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15 євро за кожний кіловат потужності.</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p>
        </w:tc>
        <w:tc>
          <w:tcPr>
            <w:tcW w:w="4248" w:type="dxa"/>
          </w:tcPr>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Чинною редакцією Закону передбачається, що переможець аукціону сплачує винагороду оператору електронного майданчика, через якого він брав участь. Така система визначена Порядком проведення аукціонів з розподілу квоти підтримки. </w:t>
            </w:r>
          </w:p>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той же час, у світі </w:t>
            </w:r>
            <w:r>
              <w:rPr>
                <w:rFonts w:ascii="Times New Roman" w:eastAsia="Times New Roman" w:hAnsi="Times New Roman" w:cs="Times New Roman"/>
                <w:color w:val="000000"/>
                <w:sz w:val="28"/>
                <w:szCs w:val="28"/>
              </w:rPr>
              <w:lastRenderedPageBreak/>
              <w:t xml:space="preserve">поширені різні практики оплати зазначеної винагороди, в тому числі при реєстрації учасників перед проведенням аукціону. Слід зазначити, що розмір плати, який сплачується переможцем, прямо впливає на кінцеву цінову пропозицію та відповідно на вартість електроенергії для кінцевого споживача. Тому, необхідно надати можливість органам державної влади змінювати системи оплати зазначеної винагороди. </w:t>
            </w:r>
          </w:p>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Таким чином, пропонується виключити зобов’язання переможця аукціону сплачувати винагороду оператору електронного майданчика. При цьому залишити положення частини десятої цієї статті: </w:t>
            </w:r>
          </w:p>
          <w:p w:rsidR="00A0744B" w:rsidRDefault="00F2411E">
            <w:pPr>
              <w:pBdr>
                <w:top w:val="nil"/>
                <w:left w:val="nil"/>
                <w:bottom w:val="nil"/>
                <w:right w:val="nil"/>
                <w:between w:val="nil"/>
              </w:pBd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порядку проведення аукціонів з розподілу квоти підтримки визначаються:</w:t>
            </w:r>
          </w:p>
          <w:p w:rsidR="00A0744B" w:rsidRDefault="00F2411E">
            <w:pPr>
              <w:pBdr>
                <w:top w:val="nil"/>
                <w:left w:val="nil"/>
                <w:bottom w:val="nil"/>
                <w:right w:val="nil"/>
                <w:between w:val="nil"/>
              </w:pBd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A0744B" w:rsidRDefault="00F2411E">
            <w:pPr>
              <w:pBdr>
                <w:top w:val="nil"/>
                <w:left w:val="nil"/>
                <w:bottom w:val="nil"/>
                <w:right w:val="nil"/>
                <w:between w:val="nil"/>
              </w:pBd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розмір та порядок сплати винагороди операторам електронних майданчиків;</w:t>
            </w:r>
          </w:p>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Суб’єкт господарювання надає гарантованому покупцю виданий уповноваженим органом сертифікат, що </w:t>
            </w:r>
            <w:r>
              <w:rPr>
                <w:rFonts w:ascii="Times New Roman" w:eastAsia="Times New Roman" w:hAnsi="Times New Roman" w:cs="Times New Roman"/>
                <w:color w:val="000000"/>
                <w:sz w:val="28"/>
                <w:szCs w:val="28"/>
              </w:rPr>
              <w:lastRenderedPageBreak/>
              <w:t xml:space="preserve">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одного із зазначених у першому реченні цієї частини документів </w:t>
            </w:r>
            <w:r>
              <w:rPr>
                <w:rFonts w:ascii="Times New Roman" w:eastAsia="Times New Roman" w:hAnsi="Times New Roman" w:cs="Times New Roman"/>
                <w:b/>
                <w:color w:val="000000"/>
                <w:sz w:val="28"/>
                <w:szCs w:val="28"/>
              </w:rPr>
              <w:t>та початку відпуску електричної енергії в мережу</w:t>
            </w:r>
            <w:r>
              <w:rPr>
                <w:rFonts w:ascii="Times New Roman" w:eastAsia="Times New Roman" w:hAnsi="Times New Roman" w:cs="Times New Roman"/>
                <w:color w:val="000000"/>
                <w:sz w:val="28"/>
                <w:szCs w:val="28"/>
              </w:rPr>
              <w:t xml:space="preserve">.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одного із зазначених у першому реченні цієї частини документів </w:t>
            </w:r>
            <w:r>
              <w:rPr>
                <w:rFonts w:ascii="Times New Roman" w:eastAsia="Times New Roman" w:hAnsi="Times New Roman" w:cs="Times New Roman"/>
                <w:b/>
                <w:color w:val="000000"/>
                <w:sz w:val="28"/>
                <w:szCs w:val="28"/>
              </w:rPr>
              <w:t>та початку відпуску електричної енергії в мережу</w:t>
            </w:r>
            <w:r>
              <w:rPr>
                <w:rFonts w:ascii="Times New Roman" w:eastAsia="Times New Roman" w:hAnsi="Times New Roman" w:cs="Times New Roman"/>
                <w:color w:val="000000"/>
                <w:sz w:val="28"/>
                <w:szCs w:val="28"/>
              </w:rPr>
              <w:t>.</w:t>
            </w:r>
          </w:p>
        </w:tc>
        <w:tc>
          <w:tcPr>
            <w:tcW w:w="5386" w:type="dxa"/>
          </w:tcPr>
          <w:p w:rsidR="00A0744B" w:rsidRDefault="00F2411E">
            <w:pPr>
              <w:spacing w:after="60" w:line="216" w:lineRule="auto"/>
              <w:ind w:firstLine="272"/>
              <w:jc w:val="both"/>
              <w:rPr>
                <w:rFonts w:ascii="Times New Roman" w:eastAsia="Times New Roman" w:hAnsi="Times New Roman" w:cs="Times New Roman"/>
                <w:color w:val="000000"/>
                <w:sz w:val="28"/>
                <w:szCs w:val="28"/>
              </w:rPr>
            </w:pPr>
            <w:bookmarkStart w:id="12" w:name="_heading=h.3dy6vkm" w:colFirst="0" w:colLast="0"/>
            <w:bookmarkEnd w:id="12"/>
            <w:r>
              <w:rPr>
                <w:rFonts w:ascii="Times New Roman" w:eastAsia="Times New Roman" w:hAnsi="Times New Roman" w:cs="Times New Roman"/>
                <w:color w:val="000000"/>
                <w:sz w:val="28"/>
                <w:szCs w:val="28"/>
              </w:rPr>
              <w:lastRenderedPageBreak/>
              <w:t>Суб’єкт господарювання надає гарантованому покупцю</w:t>
            </w:r>
            <w:r>
              <w:rPr>
                <w:rFonts w:ascii="Times New Roman" w:eastAsia="Times New Roman" w:hAnsi="Times New Roman" w:cs="Times New Roman"/>
                <w:b/>
                <w:color w:val="000000"/>
                <w:sz w:val="28"/>
                <w:szCs w:val="28"/>
              </w:rPr>
              <w:t xml:space="preserve"> акт щодо надання послуги з приєднання об’єкта </w:t>
            </w:r>
            <w:r>
              <w:rPr>
                <w:rFonts w:ascii="Times New Roman" w:eastAsia="Times New Roman" w:hAnsi="Times New Roman" w:cs="Times New Roman"/>
                <w:b/>
                <w:color w:val="000000"/>
                <w:sz w:val="28"/>
                <w:szCs w:val="28"/>
              </w:rPr>
              <w:lastRenderedPageBreak/>
              <w:t>до електричної мережі оператора системи передачі або системи розподілу та</w:t>
            </w:r>
            <w:r>
              <w:rPr>
                <w:rFonts w:ascii="Times New Roman" w:eastAsia="Times New Roman" w:hAnsi="Times New Roman" w:cs="Times New Roman"/>
                <w:color w:val="000000"/>
                <w:sz w:val="28"/>
                <w:szCs w:val="28"/>
              </w:rPr>
              <w:t xml:space="preserve">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bookmarkStart w:id="13" w:name="_heading=h.2s8eyo1" w:colFirst="0" w:colLast="0"/>
            <w:bookmarkEnd w:id="13"/>
            <w:r>
              <w:rPr>
                <w:rFonts w:ascii="Times New Roman" w:eastAsia="Times New Roman" w:hAnsi="Times New Roman" w:cs="Times New Roman"/>
                <w:sz w:val="28"/>
                <w:szCs w:val="28"/>
              </w:rPr>
              <w:lastRenderedPageBreak/>
              <w:t xml:space="preserve">Пропонується замінити вимогу стосовно "початку відпуску електричної енергії в </w:t>
            </w:r>
            <w:r>
              <w:rPr>
                <w:rFonts w:ascii="Times New Roman" w:eastAsia="Times New Roman" w:hAnsi="Times New Roman" w:cs="Times New Roman"/>
                <w:sz w:val="28"/>
                <w:szCs w:val="28"/>
              </w:rPr>
              <w:lastRenderedPageBreak/>
              <w:t xml:space="preserve">мережу" на факт надання "акту щодо надання послуги з приєднання об’єкта до електричної мережі оператора системи передачі або системи розподілу", що дозволить достовірно </w:t>
            </w:r>
            <w:proofErr w:type="spellStart"/>
            <w:r>
              <w:rPr>
                <w:rFonts w:ascii="Times New Roman" w:eastAsia="Times New Roman" w:hAnsi="Times New Roman" w:cs="Times New Roman"/>
                <w:sz w:val="28"/>
                <w:szCs w:val="28"/>
              </w:rPr>
              <w:t>верифікувати</w:t>
            </w:r>
            <w:proofErr w:type="spellEnd"/>
            <w:r>
              <w:rPr>
                <w:rFonts w:ascii="Times New Roman" w:eastAsia="Times New Roman" w:hAnsi="Times New Roman" w:cs="Times New Roman"/>
                <w:sz w:val="28"/>
                <w:szCs w:val="28"/>
              </w:rPr>
              <w:t xml:space="preserve"> факт реального завершення будівництва та уведення </w:t>
            </w:r>
            <w:proofErr w:type="spellStart"/>
            <w:r>
              <w:rPr>
                <w:rFonts w:ascii="Times New Roman" w:eastAsia="Times New Roman" w:hAnsi="Times New Roman" w:cs="Times New Roman"/>
                <w:sz w:val="28"/>
                <w:szCs w:val="28"/>
              </w:rPr>
              <w:t>енергооб’єкту</w:t>
            </w:r>
            <w:proofErr w:type="spellEnd"/>
            <w:r>
              <w:rPr>
                <w:rFonts w:ascii="Times New Roman" w:eastAsia="Times New Roman" w:hAnsi="Times New Roman" w:cs="Times New Roman"/>
                <w:sz w:val="28"/>
                <w:szCs w:val="28"/>
              </w:rPr>
              <w:t xml:space="preserve"> в експлуатацію і уніфікує вторинне законодавство.</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У разі якщо суб’єкт господарювання не </w:t>
            </w:r>
            <w:r>
              <w:rPr>
                <w:rFonts w:ascii="Times New Roman" w:eastAsia="Times New Roman" w:hAnsi="Times New Roman" w:cs="Times New Roman"/>
                <w:color w:val="000000"/>
                <w:sz w:val="28"/>
                <w:szCs w:val="28"/>
              </w:rPr>
              <w:lastRenderedPageBreak/>
              <w:t>надав сертифікат, що підтверджує готовність об’єкта до експлуатації, або декларацію про готовність об’єкта до експлуатації у встановлений цією статтею строк, договір купівлі-продажу електричної енергії між гарантованим покупцем та суб’єктом господарювання, який за результатами аукціону набув право на підтримку, є недійсним, зобов’язання за безвідкличною банківською гарантією виконуються на користь гарантованого покупця за його вимогою.</w:t>
            </w:r>
          </w:p>
          <w:p w:rsidR="00A0744B" w:rsidRDefault="00A0744B">
            <w:pPr>
              <w:spacing w:after="60" w:line="216" w:lineRule="auto"/>
              <w:ind w:firstLine="272"/>
              <w:jc w:val="both"/>
              <w:rPr>
                <w:color w:val="000000"/>
                <w:sz w:val="28"/>
                <w:szCs w:val="28"/>
              </w:rPr>
            </w:pPr>
          </w:p>
        </w:tc>
        <w:tc>
          <w:tcPr>
            <w:tcW w:w="5386" w:type="dxa"/>
          </w:tcPr>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У разі якщо суб’єкт господарювання не </w:t>
            </w:r>
            <w:r>
              <w:rPr>
                <w:rFonts w:ascii="Times New Roman" w:eastAsia="Times New Roman" w:hAnsi="Times New Roman" w:cs="Times New Roman"/>
                <w:color w:val="000000"/>
                <w:sz w:val="28"/>
                <w:szCs w:val="28"/>
              </w:rPr>
              <w:lastRenderedPageBreak/>
              <w:t xml:space="preserve">надав </w:t>
            </w:r>
            <w:r>
              <w:rPr>
                <w:rFonts w:ascii="Times New Roman" w:eastAsia="Times New Roman" w:hAnsi="Times New Roman" w:cs="Times New Roman"/>
                <w:b/>
                <w:sz w:val="28"/>
                <w:szCs w:val="28"/>
              </w:rPr>
              <w:t>акт щодо надання послуги з приєднання об’єкта до електричної мережі оператора системи передачі або системи розподілу</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та</w:t>
            </w:r>
            <w:r>
              <w:rPr>
                <w:rFonts w:ascii="Times New Roman" w:eastAsia="Times New Roman" w:hAnsi="Times New Roman" w:cs="Times New Roman"/>
                <w:color w:val="000000"/>
                <w:sz w:val="28"/>
                <w:szCs w:val="28"/>
              </w:rPr>
              <w:t xml:space="preserve"> сертифікат, що підтверджує готовність об’єкта до експлуатації, або декларацію про готовність об’єкта до експлуатації у встановлений цією статтею строк, договір купівлі-продажу електричної енергії між гарантованим покупцем та суб’єктом господарювання, який за результатами аукціону набув право на підтримку, є недійсним, зобов’язання за безвідкличною банківською гарантією виконуються на користь гарантованого покупця за його вимогою.</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tc>
        <w:tc>
          <w:tcPr>
            <w:tcW w:w="4248" w:type="dxa"/>
          </w:tcPr>
          <w:p w:rsidR="00A0744B" w:rsidRDefault="00F2411E">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 метою уникнення </w:t>
            </w:r>
            <w:r>
              <w:rPr>
                <w:rFonts w:ascii="Times New Roman" w:eastAsia="Times New Roman" w:hAnsi="Times New Roman" w:cs="Times New Roman"/>
                <w:sz w:val="28"/>
                <w:szCs w:val="28"/>
              </w:rPr>
              <w:lastRenderedPageBreak/>
              <w:t xml:space="preserve">зловживань при введенні об’єктів в експлуатацію, пропонується доповнити перелік документів актом щодо надання послуги з приєднання об’єкта до електричної мережі оператора системи передачі або системи розподілу </w:t>
            </w:r>
          </w:p>
        </w:tc>
      </w:tr>
      <w:tr w:rsidR="00A0744B">
        <w:tc>
          <w:tcPr>
            <w:tcW w:w="5499" w:type="dxa"/>
          </w:tcPr>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Строк надання підтримки становить 20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w:t>
            </w:r>
            <w:r>
              <w:rPr>
                <w:rFonts w:ascii="Times New Roman" w:eastAsia="Times New Roman" w:hAnsi="Times New Roman" w:cs="Times New Roman"/>
                <w:color w:val="000000"/>
                <w:sz w:val="28"/>
                <w:szCs w:val="28"/>
              </w:rPr>
              <w:lastRenderedPageBreak/>
              <w:t>для яких строк надання підтримки застосовується окремо.</w:t>
            </w:r>
          </w:p>
        </w:tc>
        <w:tc>
          <w:tcPr>
            <w:tcW w:w="5386" w:type="dxa"/>
          </w:tcPr>
          <w:p w:rsidR="00A0744B" w:rsidRDefault="00F2411E" w:rsidP="004C6B83">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Строк надання підтримки становить </w:t>
            </w:r>
            <w:r w:rsidR="004C6B83">
              <w:rPr>
                <w:rFonts w:ascii="Times New Roman" w:eastAsia="Times New Roman" w:hAnsi="Times New Roman" w:cs="Times New Roman"/>
                <w:b/>
                <w:color w:val="000000"/>
                <w:sz w:val="28"/>
                <w:szCs w:val="28"/>
              </w:rPr>
              <w:t>20</w:t>
            </w:r>
            <w:r>
              <w:rPr>
                <w:rFonts w:ascii="Times New Roman" w:eastAsia="Times New Roman" w:hAnsi="Times New Roman" w:cs="Times New Roman"/>
                <w:b/>
                <w:color w:val="000000"/>
                <w:sz w:val="28"/>
                <w:szCs w:val="28"/>
              </w:rPr>
              <w:t xml:space="preserve"> років з наступного дня після надання суб’єктом господарювання </w:t>
            </w:r>
            <w:r>
              <w:rPr>
                <w:rFonts w:ascii="Times New Roman" w:eastAsia="Times New Roman" w:hAnsi="Times New Roman" w:cs="Times New Roman"/>
                <w:b/>
                <w:sz w:val="28"/>
                <w:szCs w:val="28"/>
              </w:rPr>
              <w:t xml:space="preserve">зазначених у першому реченні частини тридцять дев'ятої цієї статті документів. У </w:t>
            </w:r>
            <w:r>
              <w:rPr>
                <w:rFonts w:ascii="Times New Roman" w:eastAsia="Times New Roman" w:hAnsi="Times New Roman" w:cs="Times New Roman"/>
                <w:b/>
                <w:color w:val="000000"/>
                <w:sz w:val="28"/>
                <w:szCs w:val="28"/>
              </w:rPr>
              <w:t>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c>
          <w:tcPr>
            <w:tcW w:w="4248" w:type="dxa"/>
          </w:tcPr>
          <w:p w:rsidR="00A0744B" w:rsidRDefault="00605B4D" w:rsidP="00605B4D">
            <w:pPr>
              <w:spacing w:after="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F2411E">
              <w:rPr>
                <w:rFonts w:ascii="Times New Roman" w:eastAsia="Times New Roman" w:hAnsi="Times New Roman" w:cs="Times New Roman"/>
                <w:sz w:val="28"/>
                <w:szCs w:val="28"/>
              </w:rPr>
              <w:t>иключ</w:t>
            </w:r>
            <w:r>
              <w:rPr>
                <w:rFonts w:ascii="Times New Roman" w:eastAsia="Times New Roman" w:hAnsi="Times New Roman" w:cs="Times New Roman"/>
                <w:sz w:val="28"/>
                <w:szCs w:val="28"/>
              </w:rPr>
              <w:t xml:space="preserve">ення </w:t>
            </w:r>
            <w:r w:rsidR="00F2411E">
              <w:rPr>
                <w:rFonts w:ascii="Times New Roman" w:eastAsia="Times New Roman" w:hAnsi="Times New Roman" w:cs="Times New Roman"/>
                <w:sz w:val="28"/>
                <w:szCs w:val="28"/>
              </w:rPr>
              <w:t>дублювання переліку документів, які вже зазначені у першому реченні частини тридцять дев’ятої цієї статті.</w:t>
            </w:r>
          </w:p>
        </w:tc>
      </w:tr>
      <w:tr w:rsidR="00A0744B">
        <w:tc>
          <w:tcPr>
            <w:tcW w:w="5499" w:type="dxa"/>
          </w:tcPr>
          <w:p w:rsidR="00A0744B" w:rsidRDefault="00F2411E">
            <w:pPr>
              <w:spacing w:after="60" w:line="21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ПОЛОЖЕННЯ ВІДСУТНЄ</w:t>
            </w:r>
          </w:p>
        </w:tc>
        <w:tc>
          <w:tcPr>
            <w:tcW w:w="5386" w:type="dxa"/>
          </w:tcPr>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Для суб’єктів господарювання, визначених частиною першою цієї статті, на період з 1 липня 2020 року до 31 грудня 2029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w:t>
            </w:r>
            <w:r w:rsidRPr="00A24987">
              <w:rPr>
                <w:rFonts w:ascii="Times New Roman" w:eastAsia="Times New Roman" w:hAnsi="Times New Roman" w:cs="Times New Roman"/>
                <w:b/>
                <w:sz w:val="28"/>
                <w:szCs w:val="28"/>
              </w:rPr>
              <w:lastRenderedPageBreak/>
              <w:t>або на рівні граничного (максимального) "зеленого" тарифу.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"Зелені" тарифи встановлюються:</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 </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w:t>
            </w:r>
            <w:r w:rsidRPr="00A24987">
              <w:rPr>
                <w:rFonts w:ascii="Times New Roman" w:eastAsia="Times New Roman" w:hAnsi="Times New Roman" w:cs="Times New Roman"/>
                <w:b/>
                <w:sz w:val="28"/>
                <w:szCs w:val="28"/>
              </w:rPr>
              <w:lastRenderedPageBreak/>
              <w:t>що введені в експлуатацію з 1 січня 2020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на рівні 0,975 - для суб’єктів господарювання, які виробляють електричну енергію з енергії сонячного </w:t>
            </w:r>
            <w:r w:rsidRPr="00A24987">
              <w:rPr>
                <w:rFonts w:ascii="Times New Roman" w:eastAsia="Times New Roman" w:hAnsi="Times New Roman" w:cs="Times New Roman"/>
                <w:b/>
                <w:sz w:val="28"/>
                <w:szCs w:val="28"/>
              </w:rPr>
              <w:lastRenderedPageBreak/>
              <w:t>випромінювання на об’єктах електроенергетики або чергах їх будівництва (пускових комплексах) до 1 МВт, що введені в експлуатацію з 1 січня 2020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w:t>
            </w:r>
            <w:r w:rsidRPr="00A24987">
              <w:rPr>
                <w:rFonts w:ascii="Times New Roman" w:eastAsia="Times New Roman" w:hAnsi="Times New Roman" w:cs="Times New Roman"/>
                <w:b/>
                <w:sz w:val="28"/>
                <w:szCs w:val="28"/>
              </w:rPr>
              <w:lastRenderedPageBreak/>
              <w:t>дорівнює 1;</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w:t>
            </w:r>
            <w:r w:rsidRPr="00A24987">
              <w:rPr>
                <w:rFonts w:ascii="Times New Roman" w:eastAsia="Times New Roman" w:hAnsi="Times New Roman" w:cs="Times New Roman"/>
                <w:b/>
                <w:sz w:val="28"/>
                <w:szCs w:val="28"/>
              </w:rPr>
              <w:lastRenderedPageBreak/>
              <w:t>будівництва (пускових комплексах), що не зазначені в частині третій цієї статті, "зелений" тариф встановлюється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Держава гарантує, що 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w:t>
            </w:r>
            <w:r w:rsidRPr="00A24987">
              <w:rPr>
                <w:rFonts w:ascii="Times New Roman" w:eastAsia="Times New Roman" w:hAnsi="Times New Roman" w:cs="Times New Roman"/>
                <w:b/>
                <w:sz w:val="28"/>
                <w:szCs w:val="28"/>
              </w:rPr>
              <w:lastRenderedPageBreak/>
              <w:t>чинності таким законодавством.</w:t>
            </w:r>
          </w:p>
          <w:p w:rsidR="00A24987" w:rsidRPr="00A24987" w:rsidRDefault="00A24987" w:rsidP="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Держава гарантує, що на період з 01 липня 2020 року до 31 грудня 2029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p w:rsidR="00E250AB" w:rsidRDefault="00A24987">
            <w:pPr>
              <w:spacing w:after="60" w:line="216" w:lineRule="auto"/>
              <w:ind w:firstLine="272"/>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w:t>
            </w:r>
          </w:p>
          <w:p w:rsidR="00E250AB" w:rsidRDefault="00E250AB">
            <w:pPr>
              <w:spacing w:after="60" w:line="216" w:lineRule="auto"/>
              <w:ind w:firstLine="272"/>
              <w:jc w:val="both"/>
              <w:rPr>
                <w:rFonts w:ascii="Times New Roman" w:eastAsia="Times New Roman" w:hAnsi="Times New Roman" w:cs="Times New Roman"/>
                <w:b/>
                <w:sz w:val="28"/>
                <w:szCs w:val="28"/>
              </w:rPr>
            </w:pPr>
          </w:p>
        </w:tc>
        <w:tc>
          <w:tcPr>
            <w:tcW w:w="4248" w:type="dxa"/>
          </w:tcPr>
          <w:p w:rsidR="00A0744B" w:rsidRDefault="00F2411E">
            <w:pPr>
              <w:pBdr>
                <w:top w:val="nil"/>
                <w:left w:val="nil"/>
                <w:bottom w:val="nil"/>
                <w:right w:val="nil"/>
                <w:between w:val="nil"/>
              </w:pBdr>
              <w:spacing w:after="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lastRenderedPageBreak/>
              <w:t>Введення механізму реструктуризації “зелених” тарифів із забезпеченням державних гарантій стосовно захисту інвестицій та незмінності законодавства.</w:t>
            </w:r>
          </w:p>
        </w:tc>
      </w:tr>
      <w:tr w:rsidR="00A0744B">
        <w:tc>
          <w:tcPr>
            <w:tcW w:w="15133" w:type="dxa"/>
            <w:gridSpan w:val="3"/>
          </w:tcPr>
          <w:p w:rsidR="00A0744B" w:rsidRDefault="00F2411E">
            <w:pPr>
              <w:pBdr>
                <w:top w:val="nil"/>
                <w:left w:val="nil"/>
                <w:bottom w:val="nil"/>
                <w:right w:val="nil"/>
                <w:between w:val="nil"/>
              </w:pBdr>
              <w:spacing w:after="60" w:line="216" w:lineRule="auto"/>
              <w:ind w:firstLine="45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Закон України «Про ринок електричної енергії»</w:t>
            </w:r>
          </w:p>
        </w:tc>
      </w:tr>
      <w:tr w:rsidR="00A24987">
        <w:trPr>
          <w:trHeight w:val="5865"/>
        </w:trPr>
        <w:tc>
          <w:tcPr>
            <w:tcW w:w="5499" w:type="dxa"/>
          </w:tcPr>
          <w:p w:rsidR="00A24987" w:rsidRDefault="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b/>
                <w:color w:val="000000"/>
                <w:sz w:val="28"/>
                <w:szCs w:val="28"/>
              </w:rPr>
              <w:lastRenderedPageBreak/>
              <w:t>Стаття 2. Правові основи функціонування ринку електричної енергії</w:t>
            </w:r>
          </w:p>
          <w:p w:rsid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24987" w:rsidRDefault="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p w:rsid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24987" w:rsidRPr="00A24987" w:rsidRDefault="00A24987">
            <w:pPr>
              <w:spacing w:after="60" w:line="216" w:lineRule="auto"/>
              <w:ind w:firstLine="272"/>
              <w:jc w:val="both"/>
              <w:rPr>
                <w:rFonts w:ascii="Times New Roman" w:eastAsia="Times New Roman" w:hAnsi="Times New Roman" w:cs="Times New Roman"/>
                <w:color w:val="000000"/>
                <w:sz w:val="28"/>
                <w:szCs w:val="28"/>
              </w:rPr>
            </w:pPr>
          </w:p>
        </w:tc>
        <w:tc>
          <w:tcPr>
            <w:tcW w:w="5386" w:type="dxa"/>
          </w:tcPr>
          <w:p w:rsidR="00A24987" w:rsidRDefault="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b/>
                <w:color w:val="000000"/>
                <w:sz w:val="28"/>
                <w:szCs w:val="28"/>
              </w:rPr>
              <w:t>Стаття 2. Правові основи функціонування ринку електричної енергії</w:t>
            </w:r>
          </w:p>
          <w:p w:rsid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24987" w:rsidRPr="00A24987" w:rsidRDefault="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 xml:space="preserve">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w:t>
            </w:r>
            <w:r w:rsidRPr="00A24987">
              <w:rPr>
                <w:rFonts w:ascii="Times New Roman" w:eastAsia="Times New Roman" w:hAnsi="Times New Roman" w:cs="Times New Roman"/>
                <w:b/>
                <w:color w:val="000000"/>
                <w:sz w:val="28"/>
                <w:szCs w:val="28"/>
              </w:rPr>
              <w:t>порядок надання послуг зі зменшення навантаження виробником, який здійснює продаж електричної енергії за "зеленим</w:t>
            </w:r>
            <w:r w:rsidRPr="00A24987">
              <w:rPr>
                <w:rFonts w:ascii="Times New Roman" w:eastAsia="Times New Roman" w:hAnsi="Times New Roman" w:cs="Times New Roman"/>
                <w:color w:val="000000"/>
                <w:sz w:val="28"/>
                <w:szCs w:val="28"/>
              </w:rPr>
              <w:t>"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tc>
        <w:tc>
          <w:tcPr>
            <w:tcW w:w="4248" w:type="dxa"/>
          </w:tcPr>
          <w:p w:rsidR="00A24987" w:rsidRDefault="00A24987">
            <w:pPr>
              <w:spacing w:after="120" w:line="216" w:lineRule="auto"/>
              <w:ind w:firstLine="456"/>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Врегулюваня</w:t>
            </w:r>
            <w:proofErr w:type="spellEnd"/>
            <w:r w:rsidRPr="00A24987">
              <w:rPr>
                <w:rFonts w:ascii="Times New Roman" w:eastAsia="Times New Roman" w:hAnsi="Times New Roman" w:cs="Times New Roman"/>
                <w:color w:val="000000"/>
                <w:sz w:val="28"/>
                <w:szCs w:val="28"/>
              </w:rPr>
              <w:t xml:space="preserve"> питання оплати за </w:t>
            </w:r>
            <w:proofErr w:type="spellStart"/>
            <w:r w:rsidRPr="00A24987">
              <w:rPr>
                <w:rFonts w:ascii="Times New Roman" w:eastAsia="Times New Roman" w:hAnsi="Times New Roman" w:cs="Times New Roman"/>
                <w:color w:val="000000"/>
                <w:sz w:val="28"/>
                <w:szCs w:val="28"/>
              </w:rPr>
              <w:t>недовідпуск</w:t>
            </w:r>
            <w:proofErr w:type="spellEnd"/>
            <w:r w:rsidRPr="00A24987">
              <w:rPr>
                <w:rFonts w:ascii="Times New Roman" w:eastAsia="Times New Roman" w:hAnsi="Times New Roman" w:cs="Times New Roman"/>
                <w:color w:val="000000"/>
                <w:sz w:val="28"/>
                <w:szCs w:val="28"/>
              </w:rPr>
              <w:t xml:space="preserve"> електричної енергії у разі застосування команд диспетчера оператора системи передачі.</w:t>
            </w:r>
          </w:p>
        </w:tc>
      </w:tr>
      <w:tr w:rsidR="00A0744B">
        <w:trPr>
          <w:trHeight w:val="5865"/>
        </w:trPr>
        <w:tc>
          <w:tcPr>
            <w:tcW w:w="5499"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30. Права та обов’язки виробників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 Виробники зобов’язані:</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нести фінансову відповідальність за небаланси електричної енергії за цінами, визначеними відповідно до правил ринку, у разі невиконання ними акцептованих оператором системи передачі погодинних графіків електричної енергії з урахуванням особливостей, встановлених частиною шостою статті 71 цього Закону для виробників за "зеленим" тарифом;</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tc>
        <w:tc>
          <w:tcPr>
            <w:tcW w:w="5386"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30. Права та обов’язки виробників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 Виробники зобов’язані:</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bookmarkStart w:id="14" w:name="_heading=h.1t3h5sf" w:colFirst="0" w:colLast="0"/>
            <w:bookmarkEnd w:id="14"/>
            <w:r>
              <w:rPr>
                <w:rFonts w:ascii="Times New Roman" w:eastAsia="Times New Roman" w:hAnsi="Times New Roman" w:cs="Times New Roman"/>
                <w:color w:val="000000"/>
                <w:sz w:val="28"/>
                <w:szCs w:val="28"/>
              </w:rPr>
              <w:t xml:space="preserve">9) нести фінансову відповідальність за небаланси електричної енергії за цінами, визначеними відповідно до правил ринку, у разі невиконання ними акцептованих оператором системи передачі погодинних графіків електричної енергії з урахуванням особливостей, встановлених частиною </w:t>
            </w:r>
            <w:r>
              <w:rPr>
                <w:rFonts w:ascii="Times New Roman" w:eastAsia="Times New Roman" w:hAnsi="Times New Roman" w:cs="Times New Roman"/>
                <w:sz w:val="28"/>
                <w:szCs w:val="28"/>
              </w:rPr>
              <w:t>шостою</w:t>
            </w:r>
            <w:r>
              <w:rPr>
                <w:rFonts w:ascii="Times New Roman" w:eastAsia="Times New Roman" w:hAnsi="Times New Roman" w:cs="Times New Roman"/>
                <w:color w:val="000000"/>
                <w:sz w:val="28"/>
                <w:szCs w:val="28"/>
              </w:rPr>
              <w:t xml:space="preserve"> статті 71 цього Закону для виробників за "зеленим" тарифом </w:t>
            </w:r>
            <w:r>
              <w:rPr>
                <w:rFonts w:ascii="Times New Roman" w:eastAsia="Times New Roman" w:hAnsi="Times New Roman" w:cs="Times New Roman"/>
                <w:b/>
                <w:color w:val="000000"/>
                <w:sz w:val="28"/>
                <w:szCs w:val="28"/>
              </w:rPr>
              <w:t>та виробників, які за результатами аукціону набули право на підтримку</w:t>
            </w:r>
            <w:r>
              <w:rPr>
                <w:rFonts w:ascii="Times New Roman" w:eastAsia="Times New Roman" w:hAnsi="Times New Roman" w:cs="Times New Roman"/>
                <w:color w:val="000000"/>
                <w:sz w:val="28"/>
                <w:szCs w:val="28"/>
              </w:rPr>
              <w:t>;</w:t>
            </w:r>
          </w:p>
          <w:p w:rsidR="00A0744B" w:rsidRDefault="00A0744B">
            <w:pPr>
              <w:spacing w:after="60" w:line="216" w:lineRule="auto"/>
              <w:ind w:firstLine="272"/>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p>
        </w:tc>
        <w:tc>
          <w:tcPr>
            <w:tcW w:w="4248" w:type="dxa"/>
          </w:tcPr>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Узгодження положень Закону</w:t>
            </w:r>
          </w:p>
          <w:p w:rsidR="00A0744B" w:rsidRDefault="00A0744B">
            <w:pPr>
              <w:spacing w:after="120" w:line="216" w:lineRule="auto"/>
              <w:ind w:firstLine="456"/>
              <w:jc w:val="both"/>
              <w:rPr>
                <w:rFonts w:ascii="Times New Roman" w:eastAsia="Times New Roman" w:hAnsi="Times New Roman" w:cs="Times New Roman"/>
                <w:color w:val="000000"/>
                <w:sz w:val="28"/>
                <w:szCs w:val="28"/>
              </w:rPr>
            </w:pPr>
          </w:p>
          <w:p w:rsidR="00A0744B" w:rsidRDefault="00F2411E">
            <w:pPr>
              <w:tabs>
                <w:tab w:val="left" w:pos="1175"/>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tc>
      </w:tr>
      <w:tr w:rsidR="00A24987">
        <w:trPr>
          <w:trHeight w:val="5865"/>
        </w:trPr>
        <w:tc>
          <w:tcPr>
            <w:tcW w:w="5499" w:type="dxa"/>
          </w:tcPr>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b/>
                <w:color w:val="000000"/>
                <w:sz w:val="28"/>
                <w:szCs w:val="28"/>
              </w:rPr>
              <w:lastRenderedPageBreak/>
              <w:t>Стаття 33. Функції, права та обов’язки оператора системи передачі</w:t>
            </w:r>
          </w:p>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5. &lt;…&gt;</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Тариф на послуги з передачі електричної енергії, зокрема, включає як окрему складову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w:t>
            </w:r>
          </w:p>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color w:val="000000"/>
                <w:sz w:val="28"/>
                <w:szCs w:val="28"/>
              </w:rPr>
              <w:t>&lt;…&gt;</w:t>
            </w:r>
          </w:p>
        </w:tc>
        <w:tc>
          <w:tcPr>
            <w:tcW w:w="5386" w:type="dxa"/>
          </w:tcPr>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b/>
                <w:color w:val="000000"/>
                <w:sz w:val="28"/>
                <w:szCs w:val="28"/>
              </w:rPr>
              <w:t>Стаття 33. Функції, права та обов’язки оператора системи передачі</w:t>
            </w:r>
          </w:p>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5. &lt;…&gt;</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p>
          <w:p w:rsid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 xml:space="preserve">Тариф на послуги з передачі електричної енергії, зокрема, включає як </w:t>
            </w:r>
            <w:r w:rsidRPr="00A24987">
              <w:rPr>
                <w:rFonts w:ascii="Times New Roman" w:eastAsia="Times New Roman" w:hAnsi="Times New Roman" w:cs="Times New Roman"/>
                <w:b/>
                <w:color w:val="000000"/>
                <w:sz w:val="28"/>
                <w:szCs w:val="28"/>
              </w:rPr>
              <w:t>окремі</w:t>
            </w:r>
            <w:r w:rsidRPr="00A24987">
              <w:rPr>
                <w:rFonts w:ascii="Times New Roman" w:eastAsia="Times New Roman" w:hAnsi="Times New Roman" w:cs="Times New Roman"/>
                <w:color w:val="000000"/>
                <w:sz w:val="28"/>
                <w:szCs w:val="28"/>
              </w:rPr>
              <w:t xml:space="preserve"> </w:t>
            </w:r>
            <w:r w:rsidRPr="00A24987">
              <w:rPr>
                <w:rFonts w:ascii="Times New Roman" w:eastAsia="Times New Roman" w:hAnsi="Times New Roman" w:cs="Times New Roman"/>
                <w:b/>
                <w:color w:val="000000"/>
                <w:sz w:val="28"/>
                <w:szCs w:val="28"/>
              </w:rPr>
              <w:t>складові</w:t>
            </w:r>
            <w:r w:rsidRPr="00A24987">
              <w:rPr>
                <w:rFonts w:ascii="Times New Roman" w:eastAsia="Times New Roman" w:hAnsi="Times New Roman" w:cs="Times New Roman"/>
                <w:color w:val="000000"/>
                <w:sz w:val="28"/>
                <w:szCs w:val="28"/>
              </w:rPr>
              <w:t xml:space="preserve">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w:t>
            </w:r>
            <w:r w:rsidRPr="00A24987">
              <w:rPr>
                <w:rFonts w:ascii="Times New Roman" w:eastAsia="Times New Roman" w:hAnsi="Times New Roman" w:cs="Times New Roman"/>
                <w:b/>
                <w:color w:val="000000"/>
                <w:sz w:val="28"/>
                <w:szCs w:val="28"/>
              </w:rPr>
              <w:t>та витрати на послугу зі зменшення навантаження виробником, який здійснює продаж електричної енергії за "зеленим" тарифом або за аукціонною ціною</w:t>
            </w:r>
            <w:r w:rsidRPr="00A24987">
              <w:rPr>
                <w:rFonts w:ascii="Times New Roman" w:eastAsia="Times New Roman" w:hAnsi="Times New Roman" w:cs="Times New Roman"/>
                <w:color w:val="000000"/>
                <w:sz w:val="28"/>
                <w:szCs w:val="28"/>
              </w:rPr>
              <w:t>.</w:t>
            </w:r>
          </w:p>
          <w:p w:rsidR="00A24987" w:rsidRDefault="00A24987" w:rsidP="00A24987">
            <w:pPr>
              <w:spacing w:after="60" w:line="216" w:lineRule="auto"/>
              <w:ind w:firstLine="272"/>
              <w:jc w:val="both"/>
              <w:rPr>
                <w:rFonts w:ascii="Times New Roman" w:eastAsia="Times New Roman" w:hAnsi="Times New Roman" w:cs="Times New Roman"/>
                <w:b/>
                <w:color w:val="000000"/>
                <w:sz w:val="28"/>
                <w:szCs w:val="28"/>
              </w:rPr>
            </w:pPr>
            <w:r w:rsidRPr="00A24987">
              <w:rPr>
                <w:rFonts w:ascii="Times New Roman" w:eastAsia="Times New Roman" w:hAnsi="Times New Roman" w:cs="Times New Roman"/>
                <w:color w:val="000000"/>
                <w:sz w:val="28"/>
                <w:szCs w:val="28"/>
              </w:rPr>
              <w:t>&lt;…&gt;</w:t>
            </w:r>
          </w:p>
        </w:tc>
        <w:tc>
          <w:tcPr>
            <w:tcW w:w="4248" w:type="dxa"/>
          </w:tcPr>
          <w:p w:rsidR="00A24987" w:rsidRDefault="00646C86">
            <w:pPr>
              <w:spacing w:after="120" w:line="216" w:lineRule="auto"/>
              <w:ind w:firstLine="456"/>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Врегулюваня</w:t>
            </w:r>
            <w:proofErr w:type="spellEnd"/>
            <w:r w:rsidRPr="00A24987">
              <w:rPr>
                <w:rFonts w:ascii="Times New Roman" w:eastAsia="Times New Roman" w:hAnsi="Times New Roman" w:cs="Times New Roman"/>
                <w:color w:val="000000"/>
                <w:sz w:val="28"/>
                <w:szCs w:val="28"/>
              </w:rPr>
              <w:t xml:space="preserve"> питання оплати за </w:t>
            </w:r>
            <w:proofErr w:type="spellStart"/>
            <w:r w:rsidRPr="00A24987">
              <w:rPr>
                <w:rFonts w:ascii="Times New Roman" w:eastAsia="Times New Roman" w:hAnsi="Times New Roman" w:cs="Times New Roman"/>
                <w:color w:val="000000"/>
                <w:sz w:val="28"/>
                <w:szCs w:val="28"/>
              </w:rPr>
              <w:t>недовідпуск</w:t>
            </w:r>
            <w:proofErr w:type="spellEnd"/>
            <w:r w:rsidRPr="00A24987">
              <w:rPr>
                <w:rFonts w:ascii="Times New Roman" w:eastAsia="Times New Roman" w:hAnsi="Times New Roman" w:cs="Times New Roman"/>
                <w:color w:val="000000"/>
                <w:sz w:val="28"/>
                <w:szCs w:val="28"/>
              </w:rPr>
              <w:t xml:space="preserve"> електричної енергії у разі застосування команд диспетчера оператора системи передачі.</w:t>
            </w:r>
          </w:p>
        </w:tc>
      </w:tr>
      <w:tr w:rsidR="00A0744B">
        <w:tc>
          <w:tcPr>
            <w:tcW w:w="5499"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68. Балансуючий ринок</w:t>
            </w: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rsidP="004C6B83">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&lt;…&gt; </w:t>
            </w:r>
          </w:p>
          <w:p w:rsidR="004C6B83" w:rsidRDefault="004C6B83" w:rsidP="004C6B83">
            <w:pPr>
              <w:spacing w:after="60" w:line="216"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ПОЛОЖЕННЯ </w:t>
            </w:r>
            <w:r>
              <w:rPr>
                <w:rFonts w:ascii="Times New Roman" w:eastAsia="Times New Roman" w:hAnsi="Times New Roman" w:cs="Times New Roman"/>
                <w:b/>
                <w:sz w:val="28"/>
                <w:szCs w:val="28"/>
              </w:rPr>
              <w:t>ВІДСУТНЄ</w:t>
            </w: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&lt;…&gt; </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 xml:space="preserve">5. Оператор системи передачі з метою </w:t>
            </w:r>
            <w:r w:rsidRPr="00A24987">
              <w:rPr>
                <w:rFonts w:ascii="Times New Roman" w:eastAsia="Times New Roman" w:hAnsi="Times New Roman" w:cs="Times New Roman"/>
                <w:color w:val="000000"/>
                <w:sz w:val="28"/>
                <w:szCs w:val="28"/>
              </w:rPr>
              <w:lastRenderedPageBreak/>
              <w:t>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w:t>
            </w: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лише за умови, якщо всі наявні пропозиції (заявки) інших учасників </w:t>
            </w:r>
            <w:r w:rsidRPr="00A24987">
              <w:rPr>
                <w:rFonts w:ascii="Times New Roman" w:eastAsia="Times New Roman" w:hAnsi="Times New Roman" w:cs="Times New Roman"/>
                <w:color w:val="000000"/>
                <w:sz w:val="28"/>
                <w:szCs w:val="28"/>
              </w:rPr>
              <w:lastRenderedPageBreak/>
              <w:t>балансування на зменшення їхнього навантаження були прийняті (акцептовані) оператором системи передачі, крім випадків надання таких команд при системних обмеженнях, які є наслідком дії обставин непереборної сили.</w:t>
            </w:r>
          </w:p>
          <w:p w:rsidR="00A0744B" w:rsidRDefault="00A24987">
            <w:pPr>
              <w:spacing w:after="60" w:line="216" w:lineRule="auto"/>
              <w:ind w:firstLine="272"/>
              <w:jc w:val="both"/>
              <w:rPr>
                <w:rFonts w:ascii="Times New Roman" w:eastAsia="Times New Roman" w:hAnsi="Times New Roman" w:cs="Times New Roman"/>
                <w:sz w:val="28"/>
                <w:szCs w:val="28"/>
              </w:rPr>
            </w:pPr>
            <w:r w:rsidRPr="00A24987">
              <w:rPr>
                <w:rFonts w:ascii="Times New Roman" w:eastAsia="Times New Roman" w:hAnsi="Times New Roman" w:cs="Times New Roman"/>
                <w:color w:val="000000"/>
                <w:sz w:val="28"/>
                <w:szCs w:val="28"/>
              </w:rPr>
              <w:t>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відшкодовується такому виробнику за встановленим йому "зеленим" тарифом або за аукціонною ціною, крім випадків надання таких команд у разі системних обмежень, що є наслідком дії обставин непереборної сили.</w:t>
            </w: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A24987" w:rsidRDefault="00A24987">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646C86" w:rsidRDefault="00646C86">
            <w:pPr>
              <w:spacing w:after="60" w:line="216" w:lineRule="auto"/>
              <w:ind w:firstLine="272"/>
              <w:jc w:val="both"/>
              <w:rPr>
                <w:rFonts w:ascii="Times New Roman" w:eastAsia="Times New Roman" w:hAnsi="Times New Roman" w:cs="Times New Roman"/>
                <w:sz w:val="28"/>
                <w:szCs w:val="28"/>
              </w:rPr>
            </w:pPr>
          </w:p>
          <w:p w:rsidR="00A0744B" w:rsidRDefault="00A0744B">
            <w:pPr>
              <w:spacing w:after="60" w:line="216" w:lineRule="auto"/>
              <w:ind w:firstLine="272"/>
              <w:jc w:val="both"/>
              <w:rPr>
                <w:rFonts w:ascii="Times New Roman" w:eastAsia="Times New Roman" w:hAnsi="Times New Roman" w:cs="Times New Roman"/>
                <w:sz w:val="28"/>
                <w:szCs w:val="28"/>
              </w:rPr>
            </w:pPr>
          </w:p>
          <w:p w:rsidR="00A0744B" w:rsidRDefault="00F2411E">
            <w:pPr>
              <w:spacing w:after="60" w:line="216"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ПОЛОЖЕННЯ </w:t>
            </w:r>
            <w:r>
              <w:rPr>
                <w:rFonts w:ascii="Times New Roman" w:eastAsia="Times New Roman" w:hAnsi="Times New Roman" w:cs="Times New Roman"/>
                <w:b/>
                <w:sz w:val="28"/>
                <w:szCs w:val="28"/>
              </w:rPr>
              <w:t>ВІДСУТНЄ</w:t>
            </w:r>
          </w:p>
          <w:p w:rsidR="00A0744B" w:rsidRDefault="00A0744B">
            <w:pPr>
              <w:spacing w:after="60" w:line="216" w:lineRule="auto"/>
              <w:jc w:val="both"/>
              <w:rPr>
                <w:rFonts w:ascii="Times New Roman" w:eastAsia="Times New Roman" w:hAnsi="Times New Roman" w:cs="Times New Roman"/>
                <w:color w:val="000000"/>
                <w:sz w:val="28"/>
                <w:szCs w:val="28"/>
              </w:rPr>
            </w:pPr>
          </w:p>
        </w:tc>
        <w:tc>
          <w:tcPr>
            <w:tcW w:w="5386"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68. Балансуючий ринок</w:t>
            </w: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4C6B83" w:rsidRDefault="004C6B83" w:rsidP="004C6B83">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&lt;…&gt; </w:t>
            </w:r>
          </w:p>
          <w:p w:rsidR="004C6B83" w:rsidRPr="004C6B83" w:rsidRDefault="004C6B83">
            <w:pPr>
              <w:spacing w:after="60" w:line="216" w:lineRule="auto"/>
              <w:ind w:firstLine="272"/>
              <w:jc w:val="both"/>
              <w:rPr>
                <w:rFonts w:ascii="Times New Roman" w:eastAsia="Times New Roman" w:hAnsi="Times New Roman" w:cs="Times New Roman"/>
                <w:b/>
                <w:color w:val="000000"/>
                <w:sz w:val="28"/>
                <w:szCs w:val="28"/>
              </w:rPr>
            </w:pPr>
            <w:r w:rsidRPr="004C6B83">
              <w:rPr>
                <w:rFonts w:ascii="Times New Roman" w:eastAsia="Times New Roman" w:hAnsi="Times New Roman" w:cs="Times New Roman"/>
                <w:b/>
                <w:color w:val="000000"/>
                <w:sz w:val="28"/>
                <w:szCs w:val="28"/>
              </w:rPr>
              <w:t>Оператор системи передачі для забезпечення операційної безпеки має право за межами балансуючого ринку придбавати послуги зі зменшення навантаження виробником, який здійснює продаж електричної енергії за "зеленим" тарифом або за аукціонною ціною.</w:t>
            </w:r>
          </w:p>
          <w:p w:rsidR="004C6B83" w:rsidRDefault="004C6B83" w:rsidP="004C6B83">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&lt;…&gt; </w:t>
            </w:r>
          </w:p>
          <w:p w:rsidR="004C6B83" w:rsidRDefault="004C6B83">
            <w:pPr>
              <w:spacing w:after="60" w:line="216" w:lineRule="auto"/>
              <w:ind w:firstLine="272"/>
              <w:jc w:val="both"/>
              <w:rPr>
                <w:rFonts w:ascii="Times New Roman" w:eastAsia="Times New Roman" w:hAnsi="Times New Roman" w:cs="Times New Roman"/>
                <w:color w:val="000000"/>
                <w:sz w:val="28"/>
                <w:szCs w:val="28"/>
              </w:rPr>
            </w:pPr>
          </w:p>
          <w:p w:rsidR="00A24987" w:rsidRPr="00A24987" w:rsidRDefault="00A24987" w:rsidP="00A24987">
            <w:pPr>
              <w:spacing w:after="60" w:line="216" w:lineRule="auto"/>
              <w:ind w:firstLine="272"/>
              <w:jc w:val="both"/>
              <w:rPr>
                <w:rFonts w:ascii="Times New Roman" w:eastAsia="Times New Roman" w:hAnsi="Times New Roman" w:cs="Times New Roman"/>
                <w:color w:val="000000"/>
                <w:sz w:val="28"/>
                <w:szCs w:val="28"/>
              </w:rPr>
            </w:pPr>
            <w:r w:rsidRPr="00A24987">
              <w:rPr>
                <w:rFonts w:ascii="Times New Roman" w:eastAsia="Times New Roman" w:hAnsi="Times New Roman" w:cs="Times New Roman"/>
                <w:color w:val="000000"/>
                <w:sz w:val="28"/>
                <w:szCs w:val="28"/>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A24987" w:rsidRPr="00A24987" w:rsidRDefault="00A24987" w:rsidP="00A24987">
            <w:pPr>
              <w:spacing w:before="240" w:after="240" w:line="216" w:lineRule="auto"/>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   </w:t>
            </w:r>
          </w:p>
          <w:p w:rsidR="00A24987" w:rsidRPr="00A24987" w:rsidRDefault="00A24987" w:rsidP="00A24987">
            <w:pPr>
              <w:spacing w:before="240" w:after="240" w:line="216" w:lineRule="auto"/>
              <w:jc w:val="both"/>
              <w:rPr>
                <w:rFonts w:ascii="Times New Roman" w:eastAsia="Times New Roman" w:hAnsi="Times New Roman" w:cs="Times New Roman"/>
                <w:b/>
                <w:sz w:val="28"/>
                <w:szCs w:val="28"/>
              </w:rPr>
            </w:pPr>
            <w:r w:rsidRPr="00A24987">
              <w:rPr>
                <w:rFonts w:ascii="Times New Roman" w:eastAsia="Times New Roman" w:hAnsi="Times New Roman" w:cs="Times New Roman"/>
                <w:b/>
                <w:sz w:val="28"/>
                <w:szCs w:val="28"/>
              </w:rPr>
              <w:t xml:space="preserve">Оператор системи передачі за межами балансуючого ринку має право надавати команди на зменшення навантаження виробникам, які </w:t>
            </w:r>
            <w:r w:rsidRPr="00A24987">
              <w:rPr>
                <w:rFonts w:ascii="Times New Roman" w:eastAsia="Times New Roman" w:hAnsi="Times New Roman" w:cs="Times New Roman"/>
                <w:b/>
                <w:sz w:val="28"/>
                <w:szCs w:val="28"/>
              </w:rPr>
              <w:lastRenderedPageBreak/>
              <w:t xml:space="preserve">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зі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w:t>
            </w:r>
            <w:r w:rsidRPr="00A24987">
              <w:rPr>
                <w:rFonts w:ascii="Times New Roman" w:eastAsia="Times New Roman" w:hAnsi="Times New Roman" w:cs="Times New Roman"/>
                <w:b/>
                <w:sz w:val="28"/>
                <w:szCs w:val="28"/>
              </w:rPr>
              <w:lastRenderedPageBreak/>
              <w:t>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w:t>
            </w:r>
          </w:p>
          <w:p w:rsidR="00646C86" w:rsidRDefault="00646C86" w:rsidP="00646C86">
            <w:pPr>
              <w:spacing w:before="240" w:after="240" w:line="216" w:lineRule="auto"/>
              <w:jc w:val="both"/>
              <w:rPr>
                <w:rFonts w:ascii="Times New Roman" w:eastAsia="Times New Roman" w:hAnsi="Times New Roman" w:cs="Times New Roman"/>
                <w:b/>
                <w:sz w:val="28"/>
                <w:szCs w:val="28"/>
              </w:rPr>
            </w:pPr>
            <w:r w:rsidRPr="00646C86">
              <w:rPr>
                <w:rFonts w:ascii="Times New Roman" w:eastAsia="Times New Roman" w:hAnsi="Times New Roman" w:cs="Times New Roman"/>
                <w:b/>
                <w:sz w:val="28"/>
                <w:szCs w:val="28"/>
              </w:rPr>
              <w:t>Вартість послуги із зменшення навантаження  виробником, який здійснює продаж електричної енергії за "зеленим" тарифом або за аукціонною ціною,  наданої у результаті виконання команди оператора системи передачі, дорівнює вартості електричної енергії не відпущеної таким виробником за "зеленим" тарифом або за аукціонною ціною.</w:t>
            </w:r>
            <w:r w:rsidR="00A24987" w:rsidRPr="00A24987">
              <w:rPr>
                <w:rFonts w:ascii="Times New Roman" w:eastAsia="Times New Roman" w:hAnsi="Times New Roman" w:cs="Times New Roman"/>
                <w:b/>
                <w:sz w:val="28"/>
                <w:szCs w:val="28"/>
              </w:rPr>
              <w:t xml:space="preserve"> </w:t>
            </w:r>
          </w:p>
          <w:p w:rsidR="00646C86" w:rsidRDefault="00646C86" w:rsidP="00646C86">
            <w:pPr>
              <w:spacing w:before="240" w:after="240" w:line="216" w:lineRule="auto"/>
              <w:jc w:val="both"/>
              <w:rPr>
                <w:rFonts w:ascii="Times New Roman" w:eastAsia="Times New Roman" w:hAnsi="Times New Roman" w:cs="Times New Roman"/>
                <w:b/>
                <w:sz w:val="28"/>
                <w:szCs w:val="28"/>
              </w:rPr>
            </w:pPr>
            <w:r w:rsidRPr="00646C86">
              <w:rPr>
                <w:rFonts w:ascii="Times New Roman" w:eastAsia="Times New Roman" w:hAnsi="Times New Roman" w:cs="Times New Roman"/>
                <w:b/>
                <w:sz w:val="28"/>
                <w:szCs w:val="28"/>
              </w:rPr>
              <w:t xml:space="preserve">Розрахунок обсягу не відпущеної виробником, який здійснює продаж </w:t>
            </w:r>
            <w:r w:rsidRPr="00646C86">
              <w:rPr>
                <w:rFonts w:ascii="Times New Roman" w:eastAsia="Times New Roman" w:hAnsi="Times New Roman" w:cs="Times New Roman"/>
                <w:b/>
                <w:sz w:val="28"/>
                <w:szCs w:val="28"/>
              </w:rPr>
              <w:lastRenderedPageBreak/>
              <w:t>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зі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tc>
        <w:tc>
          <w:tcPr>
            <w:tcW w:w="4248" w:type="dxa"/>
          </w:tcPr>
          <w:p w:rsidR="00A0744B" w:rsidRDefault="00A0744B">
            <w:pPr>
              <w:spacing w:after="120" w:line="216" w:lineRule="auto"/>
              <w:ind w:firstLine="456"/>
              <w:jc w:val="both"/>
              <w:rPr>
                <w:rFonts w:ascii="Times New Roman" w:eastAsia="Times New Roman" w:hAnsi="Times New Roman" w:cs="Times New Roman"/>
                <w:b/>
                <w:color w:val="000000"/>
                <w:sz w:val="28"/>
                <w:szCs w:val="28"/>
              </w:rPr>
            </w:pPr>
          </w:p>
          <w:p w:rsidR="00A0744B" w:rsidRDefault="00F2411E">
            <w:pPr>
              <w:spacing w:after="120" w:line="240" w:lineRule="auto"/>
              <w:ind w:firstLine="4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Пропонується врегулювати питання оплати за </w:t>
            </w:r>
            <w:proofErr w:type="spellStart"/>
            <w:r>
              <w:rPr>
                <w:rFonts w:ascii="Times New Roman" w:eastAsia="Times New Roman" w:hAnsi="Times New Roman" w:cs="Times New Roman"/>
                <w:sz w:val="28"/>
                <w:szCs w:val="28"/>
              </w:rPr>
              <w:t>недовідпуск</w:t>
            </w:r>
            <w:proofErr w:type="spellEnd"/>
            <w:r>
              <w:rPr>
                <w:rFonts w:ascii="Times New Roman" w:eastAsia="Times New Roman" w:hAnsi="Times New Roman" w:cs="Times New Roman"/>
                <w:sz w:val="28"/>
                <w:szCs w:val="28"/>
              </w:rPr>
              <w:t xml:space="preserve"> електричної енергії у разі застосування команд диспетчера оператора системи передачі. Зокрема, призначити оператора системи передачі суб’єктом, відповідальним за здійснення такої оплати та визначити основні вимоги до методики </w:t>
            </w:r>
            <w:r>
              <w:rPr>
                <w:rFonts w:ascii="Times New Roman" w:eastAsia="Times New Roman" w:hAnsi="Times New Roman" w:cs="Times New Roman"/>
                <w:sz w:val="28"/>
                <w:szCs w:val="28"/>
              </w:rPr>
              <w:lastRenderedPageBreak/>
              <w:t xml:space="preserve">розрахунку обсягу </w:t>
            </w:r>
            <w:proofErr w:type="spellStart"/>
            <w:r>
              <w:rPr>
                <w:rFonts w:ascii="Times New Roman" w:eastAsia="Times New Roman" w:hAnsi="Times New Roman" w:cs="Times New Roman"/>
                <w:sz w:val="28"/>
                <w:szCs w:val="28"/>
              </w:rPr>
              <w:t>недовідпуску</w:t>
            </w:r>
            <w:proofErr w:type="spellEnd"/>
            <w:r>
              <w:rPr>
                <w:rFonts w:ascii="Times New Roman" w:eastAsia="Times New Roman" w:hAnsi="Times New Roman" w:cs="Times New Roman"/>
                <w:sz w:val="28"/>
                <w:szCs w:val="28"/>
              </w:rPr>
              <w:t xml:space="preserve"> та відповідного компенсаційного платежу.</w:t>
            </w:r>
          </w:p>
          <w:p w:rsidR="00A0744B" w:rsidRDefault="00A0744B">
            <w:pPr>
              <w:spacing w:after="120" w:line="240" w:lineRule="auto"/>
              <w:ind w:firstLine="483"/>
              <w:jc w:val="both"/>
              <w:rPr>
                <w:rFonts w:ascii="Times New Roman" w:eastAsia="Times New Roman" w:hAnsi="Times New Roman" w:cs="Times New Roman"/>
                <w:b/>
                <w:sz w:val="28"/>
                <w:szCs w:val="28"/>
              </w:rPr>
            </w:pPr>
          </w:p>
          <w:p w:rsidR="00A0744B" w:rsidRDefault="00A0744B">
            <w:pPr>
              <w:spacing w:after="120" w:line="240" w:lineRule="auto"/>
              <w:ind w:firstLine="483"/>
              <w:jc w:val="both"/>
              <w:rPr>
                <w:rFonts w:ascii="Times New Roman" w:eastAsia="Times New Roman" w:hAnsi="Times New Roman" w:cs="Times New Roman"/>
                <w:color w:val="000000"/>
                <w:sz w:val="28"/>
                <w:szCs w:val="28"/>
              </w:rPr>
            </w:pPr>
          </w:p>
        </w:tc>
      </w:tr>
      <w:tr w:rsidR="00A0744B">
        <w:trPr>
          <w:trHeight w:val="845"/>
        </w:trPr>
        <w:tc>
          <w:tcPr>
            <w:tcW w:w="5499"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71.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w:t>
            </w:r>
          </w:p>
          <w:p w:rsidR="00A0744B" w:rsidRDefault="00A0744B">
            <w:pPr>
              <w:spacing w:after="60" w:line="216" w:lineRule="auto"/>
              <w:ind w:firstLine="272"/>
              <w:jc w:val="both"/>
              <w:rPr>
                <w:rFonts w:ascii="Times New Roman" w:eastAsia="Times New Roman" w:hAnsi="Times New Roman" w:cs="Times New Roman"/>
                <w:b/>
                <w:sz w:val="28"/>
                <w:szCs w:val="28"/>
              </w:rPr>
            </w:pP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color w:val="000000"/>
                <w:sz w:val="28"/>
                <w:szCs w:val="28"/>
              </w:rPr>
              <w:t>&lt;…&gt;</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b/>
                <w:color w:val="000000"/>
                <w:sz w:val="28"/>
                <w:szCs w:val="28"/>
              </w:rPr>
            </w:pPr>
            <w:bookmarkStart w:id="15" w:name="bookmark=id.z337ya" w:colFirst="0" w:colLast="0"/>
            <w:bookmarkEnd w:id="15"/>
            <w:r>
              <w:rPr>
                <w:rFonts w:ascii="Times New Roman" w:eastAsia="Times New Roman" w:hAnsi="Times New Roman" w:cs="Times New Roman"/>
                <w:color w:val="000000"/>
                <w:sz w:val="28"/>
                <w:szCs w:val="28"/>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щодо викупу всього обсягу електричної енергії, </w:t>
            </w:r>
            <w:r>
              <w:rPr>
                <w:rFonts w:ascii="Times New Roman" w:eastAsia="Times New Roman" w:hAnsi="Times New Roman" w:cs="Times New Roman"/>
                <w:color w:val="000000"/>
                <w:sz w:val="28"/>
                <w:szCs w:val="28"/>
              </w:rPr>
              <w:lastRenderedPageBreak/>
              <w:t xml:space="preserve">відпущеної таким суб’єктом господарювання, виникають з дня, наступного за днем надання суб’єктом господарювання гарантованому покупцю одного із зазначених документів </w:t>
            </w:r>
            <w:r>
              <w:rPr>
                <w:rFonts w:ascii="Times New Roman" w:eastAsia="Times New Roman" w:hAnsi="Times New Roman" w:cs="Times New Roman"/>
                <w:b/>
                <w:color w:val="000000"/>
                <w:sz w:val="28"/>
                <w:szCs w:val="28"/>
              </w:rPr>
              <w:t>та початку відпуску електричної енергії в мережу.</w:t>
            </w:r>
          </w:p>
          <w:p w:rsidR="00A0744B" w:rsidRDefault="00F2411E">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16" w:name="bookmark=id.3j2qqm3" w:colFirst="0" w:colLast="0"/>
            <w:bookmarkEnd w:id="16"/>
            <w:r>
              <w:rPr>
                <w:rFonts w:ascii="Times New Roman" w:eastAsia="Times New Roman" w:hAnsi="Times New Roman" w:cs="Times New Roman"/>
                <w:color w:val="000000"/>
                <w:sz w:val="28"/>
                <w:szCs w:val="28"/>
              </w:rPr>
              <w:t>У разі якщо суб’єкт господарювання не надав сертифікат, що підтверджує готовність об’єкта до експлуатації, або декларацію про готовність об’єкта до експлуатації протягом строку, передбаченого </w:t>
            </w:r>
            <w:r>
              <w:rPr>
                <w:rFonts w:ascii="Times New Roman" w:eastAsia="Times New Roman" w:hAnsi="Times New Roman" w:cs="Times New Roman"/>
                <w:sz w:val="28"/>
                <w:szCs w:val="28"/>
              </w:rPr>
              <w:t>статтею 9-3</w:t>
            </w:r>
            <w:r>
              <w:rPr>
                <w:rFonts w:ascii="Times New Roman" w:eastAsia="Times New Roman" w:hAnsi="Times New Roman" w:cs="Times New Roman"/>
                <w:color w:val="000000"/>
                <w:sz w:val="28"/>
                <w:szCs w:val="28"/>
              </w:rPr>
              <w:t> Закону України "Про альтернативні джерела енергії", укладений договір є недійсним.</w:t>
            </w: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p>
          <w:p w:rsidR="00A0744B" w:rsidRDefault="00A0744B">
            <w:pPr>
              <w:pBdr>
                <w:top w:val="nil"/>
                <w:left w:val="nil"/>
                <w:bottom w:val="nil"/>
                <w:right w:val="nil"/>
                <w:between w:val="nil"/>
              </w:pBdr>
              <w:shd w:val="clear" w:color="auto" w:fill="FFFFFF"/>
              <w:spacing w:after="60" w:line="216" w:lineRule="auto"/>
              <w:ind w:firstLine="450"/>
              <w:jc w:val="both"/>
              <w:rPr>
                <w:rFonts w:ascii="Times New Roman" w:eastAsia="Times New Roman" w:hAnsi="Times New Roman" w:cs="Times New Roman"/>
                <w:sz w:val="28"/>
                <w:szCs w:val="28"/>
              </w:rPr>
            </w:pP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За відхилення фактичних погодинних обсягів відпуску електричної енергії виробників за "зеленим" тарифом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Виробники за "зеленим" тарифом та виробники, які за результатами аукціону набули право на підтримку, що вводять </w:t>
            </w:r>
            <w:r>
              <w:rPr>
                <w:rFonts w:ascii="Times New Roman" w:eastAsia="Times New Roman" w:hAnsi="Times New Roman" w:cs="Times New Roman"/>
                <w:color w:val="000000"/>
                <w:sz w:val="28"/>
                <w:szCs w:val="28"/>
              </w:rPr>
              <w:lastRenderedPageBreak/>
              <w:t>об’єкти електроенергетики, черги (пускові комплекси) об’єктів електроенергетики в експлуатацію до 1 січня року, що настає за роком, в якому внутрішньодобовий ринок визнано ліквідним, але не пізніше ніж до 1 січня 2024 року, за відхилення власних фактичних погодинних обсягів відпуску електричної енергії від їхніх погодинних графіків відпуску електричної енергії відшкодовують частку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відхилення власних фактичних погодинних обсягів відпуску електричної енергії від їхніх погодинних графіків відпуску електричної енергії виробники за "зеленим" тарифом та виробники, які за результатами аукціону набули право на підтримку, відшкодовують вартість врегулювання небалансу гарантованого покупця у повному обсязі відповідно до правил функціонування балансуючої групи гарантованого покупця, за умови що такі виробники ввели об’єкти електроенергетики, черги (пускові комплекси) об’єктів електроенергетики в експлуатацію з 1 січня року, який настає за роком, в якому внутрішньодобовий ринок визнано ліквідним, або з 1 січня 2024 року, якщо внутрішньодобовий ринок не буде визнано ліквідним.</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lastRenderedPageBreak/>
              <w:t>Рішення про визнання внутрішньодобового ринку ліквідним приймається Регулятором.</w:t>
            </w:r>
          </w:p>
        </w:tc>
        <w:tc>
          <w:tcPr>
            <w:tcW w:w="5386" w:type="dxa"/>
          </w:tcPr>
          <w:p w:rsidR="00A0744B" w:rsidRDefault="00F2411E">
            <w:pPr>
              <w:spacing w:after="60" w:line="21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71.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w:t>
            </w:r>
          </w:p>
          <w:p w:rsidR="00A0744B" w:rsidRDefault="00A0744B">
            <w:pPr>
              <w:spacing w:after="60" w:line="216" w:lineRule="auto"/>
              <w:jc w:val="both"/>
              <w:rPr>
                <w:rFonts w:ascii="Times New Roman" w:eastAsia="Times New Roman" w:hAnsi="Times New Roman" w:cs="Times New Roman"/>
                <w:b/>
                <w:sz w:val="28"/>
                <w:szCs w:val="28"/>
              </w:rPr>
            </w:pP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color w:val="000000"/>
                <w:sz w:val="28"/>
                <w:szCs w:val="28"/>
              </w:rPr>
              <w:t>&lt;…&gt;</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Суб’єкт господарювання надає гарантованому покупцю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акт щодо надання послуги з приєднання об’єкта до електричної мережі оператора системи передачі або системи розподілу та</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сертифікат, що підтверджує готовність об’єкта до експлуатації, або декларацію </w:t>
            </w:r>
            <w:r>
              <w:rPr>
                <w:rFonts w:ascii="Times New Roman" w:eastAsia="Times New Roman" w:hAnsi="Times New Roman" w:cs="Times New Roman"/>
                <w:color w:val="000000"/>
                <w:sz w:val="28"/>
                <w:szCs w:val="28"/>
              </w:rPr>
              <w:lastRenderedPageBreak/>
              <w:t>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якщо суб’єкт господарювання не надав</w:t>
            </w:r>
            <w:r>
              <w:rPr>
                <w:rFonts w:ascii="Times New Roman" w:eastAsia="Times New Roman" w:hAnsi="Times New Roman" w:cs="Times New Roman"/>
                <w:b/>
                <w:color w:val="000000"/>
                <w:sz w:val="28"/>
                <w:szCs w:val="28"/>
              </w:rPr>
              <w:t xml:space="preserve"> документи, передбачені абзацом п’ятим цієї </w:t>
            </w:r>
            <w:r>
              <w:rPr>
                <w:rFonts w:ascii="Times New Roman" w:eastAsia="Times New Roman" w:hAnsi="Times New Roman" w:cs="Times New Roman"/>
                <w:b/>
                <w:sz w:val="28"/>
                <w:szCs w:val="28"/>
              </w:rPr>
              <w:t>частини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протягом строку, передбаченого статтею 9-3 Закону України "Про альтернативні джерела енергії", укладений договір є недійсним.</w:t>
            </w:r>
          </w:p>
          <w:p w:rsidR="00A0744B" w:rsidRDefault="00A0744B">
            <w:pPr>
              <w:spacing w:after="60" w:line="216" w:lineRule="auto"/>
              <w:ind w:firstLine="709"/>
              <w:jc w:val="both"/>
              <w:rPr>
                <w:rFonts w:ascii="Times New Roman" w:eastAsia="Times New Roman" w:hAnsi="Times New Roman" w:cs="Times New Roman"/>
                <w:b/>
                <w:sz w:val="28"/>
                <w:szCs w:val="28"/>
              </w:rPr>
            </w:pPr>
          </w:p>
          <w:p w:rsidR="00E250AB" w:rsidRDefault="00E250AB">
            <w:pPr>
              <w:spacing w:after="60" w:line="216" w:lineRule="auto"/>
              <w:ind w:firstLine="709"/>
              <w:jc w:val="both"/>
              <w:rPr>
                <w:rFonts w:ascii="Times New Roman" w:eastAsia="Times New Roman" w:hAnsi="Times New Roman" w:cs="Times New Roman"/>
                <w:b/>
                <w:sz w:val="28"/>
                <w:szCs w:val="28"/>
              </w:rPr>
            </w:pPr>
          </w:p>
          <w:p w:rsidR="00E250AB" w:rsidRDefault="00E250AB">
            <w:pPr>
              <w:spacing w:after="60" w:line="216" w:lineRule="auto"/>
              <w:ind w:firstLine="709"/>
              <w:jc w:val="both"/>
              <w:rPr>
                <w:rFonts w:ascii="Times New Roman" w:eastAsia="Times New Roman" w:hAnsi="Times New Roman" w:cs="Times New Roman"/>
                <w:b/>
                <w:sz w:val="28"/>
                <w:szCs w:val="28"/>
              </w:rPr>
            </w:pP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&lt;…&gt;</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6</w:t>
            </w:r>
            <w:r>
              <w:rPr>
                <w:rFonts w:ascii="Times New Roman" w:eastAsia="Times New Roman" w:hAnsi="Times New Roman" w:cs="Times New Roman"/>
                <w:b/>
                <w:color w:val="000000"/>
                <w:sz w:val="28"/>
                <w:szCs w:val="28"/>
              </w:rPr>
              <w:t>. За відхилення фактичних погодинних обсягів відпуску електричної енергії виробників за "зеленим" тарифом та виробників, які за результатами аукціону набули право на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цього Закону та правил функціонування балансуючої групи гарантованого покупця.</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&lt;…&gt;</w:t>
            </w:r>
          </w:p>
          <w:p w:rsidR="00A0744B" w:rsidRDefault="00A0744B">
            <w:pPr>
              <w:spacing w:after="60" w:line="216" w:lineRule="auto"/>
              <w:ind w:firstLine="272"/>
              <w:jc w:val="both"/>
              <w:rPr>
                <w:rFonts w:ascii="Times New Roman" w:eastAsia="Times New Roman" w:hAnsi="Times New Roman" w:cs="Times New Roman"/>
                <w:b/>
                <w:color w:val="000000"/>
                <w:sz w:val="28"/>
                <w:szCs w:val="28"/>
              </w:rPr>
            </w:pPr>
          </w:p>
        </w:tc>
        <w:tc>
          <w:tcPr>
            <w:tcW w:w="4248" w:type="dxa"/>
          </w:tcPr>
          <w:p w:rsidR="00A0744B" w:rsidRDefault="00A0744B">
            <w:pPr>
              <w:spacing w:after="120" w:line="216" w:lineRule="auto"/>
              <w:jc w:val="both"/>
              <w:rPr>
                <w:rFonts w:ascii="Times New Roman" w:eastAsia="Times New Roman" w:hAnsi="Times New Roman" w:cs="Times New Roman"/>
                <w:sz w:val="28"/>
                <w:szCs w:val="28"/>
              </w:rPr>
            </w:pPr>
          </w:p>
          <w:p w:rsidR="00A0744B" w:rsidRDefault="00A0744B">
            <w:pPr>
              <w:spacing w:after="120" w:line="216" w:lineRule="auto"/>
              <w:jc w:val="both"/>
              <w:rPr>
                <w:rFonts w:ascii="Times New Roman" w:eastAsia="Times New Roman" w:hAnsi="Times New Roman" w:cs="Times New Roman"/>
                <w:sz w:val="28"/>
                <w:szCs w:val="28"/>
              </w:rPr>
            </w:pPr>
          </w:p>
          <w:p w:rsidR="00A0744B" w:rsidRDefault="00A0744B">
            <w:pPr>
              <w:spacing w:after="120" w:line="216" w:lineRule="auto"/>
              <w:jc w:val="both"/>
              <w:rPr>
                <w:rFonts w:ascii="Times New Roman" w:eastAsia="Times New Roman" w:hAnsi="Times New Roman" w:cs="Times New Roman"/>
                <w:sz w:val="28"/>
                <w:szCs w:val="28"/>
              </w:rPr>
            </w:pPr>
          </w:p>
          <w:p w:rsidR="00A0744B" w:rsidRDefault="00A0744B">
            <w:pPr>
              <w:spacing w:after="120" w:line="216" w:lineRule="auto"/>
              <w:jc w:val="both"/>
              <w:rPr>
                <w:rFonts w:ascii="Times New Roman" w:eastAsia="Times New Roman" w:hAnsi="Times New Roman" w:cs="Times New Roman"/>
                <w:sz w:val="28"/>
                <w:szCs w:val="28"/>
              </w:rPr>
            </w:pPr>
          </w:p>
          <w:p w:rsidR="00A0744B" w:rsidRDefault="00A0744B">
            <w:pPr>
              <w:spacing w:after="120" w:line="216" w:lineRule="auto"/>
              <w:jc w:val="both"/>
              <w:rPr>
                <w:rFonts w:ascii="Times New Roman" w:eastAsia="Times New Roman" w:hAnsi="Times New Roman" w:cs="Times New Roman"/>
                <w:sz w:val="28"/>
                <w:szCs w:val="28"/>
              </w:rPr>
            </w:pP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F2411E">
            <w:pPr>
              <w:spacing w:after="12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метою уникнення зловживань, об’єктами, що не готові до промислової експлуатації та додаткового незалежного підтвердження факту та дати введення в експлуатацію об’єкта </w:t>
            </w:r>
            <w:r>
              <w:rPr>
                <w:rFonts w:ascii="Times New Roman" w:eastAsia="Times New Roman" w:hAnsi="Times New Roman" w:cs="Times New Roman"/>
                <w:sz w:val="28"/>
                <w:szCs w:val="28"/>
              </w:rPr>
              <w:lastRenderedPageBreak/>
              <w:t>електроенергетики, що виробляє електричну енергію з альтернативних джерел енергії, пропонується доповнити перелік документації, яка підтверджує готовність об’єктів відновлюваної енергетики до експлуатації актом щодо надання послуги з приєднання до електричної мережі оператора системи передачі, або розподілу.</w:t>
            </w: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A0744B">
            <w:pPr>
              <w:spacing w:after="120" w:line="216" w:lineRule="auto"/>
              <w:ind w:firstLine="456"/>
              <w:jc w:val="both"/>
              <w:rPr>
                <w:rFonts w:ascii="Times New Roman" w:eastAsia="Times New Roman" w:hAnsi="Times New Roman" w:cs="Times New Roman"/>
                <w:sz w:val="28"/>
                <w:szCs w:val="28"/>
              </w:rPr>
            </w:pPr>
          </w:p>
          <w:p w:rsidR="00A0744B" w:rsidRDefault="00F2411E">
            <w:pPr>
              <w:spacing w:after="120" w:line="216" w:lineRule="auto"/>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Передбачається введення однакової відповідальності за небаланси для всіх виробників, як за "зеленим" тарифом та і тих, які за результатами аукціону набули право на підтримку відповідно цього Закону та правил функціонування балансуючої групи гарантованого покупця.</w:t>
            </w:r>
          </w:p>
          <w:p w:rsidR="00A0744B" w:rsidRDefault="00A0744B">
            <w:pPr>
              <w:spacing w:after="120" w:line="216" w:lineRule="auto"/>
              <w:ind w:firstLine="456"/>
              <w:jc w:val="both"/>
              <w:rPr>
                <w:rFonts w:ascii="Times New Roman" w:eastAsia="Times New Roman" w:hAnsi="Times New Roman" w:cs="Times New Roman"/>
                <w:b/>
                <w:color w:val="000000"/>
                <w:sz w:val="28"/>
                <w:szCs w:val="28"/>
              </w:rPr>
            </w:pPr>
          </w:p>
        </w:tc>
      </w:tr>
      <w:tr w:rsidR="00A0744B">
        <w:tc>
          <w:tcPr>
            <w:tcW w:w="5499"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Розділ XVII "Прикінцеві та Перехідні положення"</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за "зеленим" тарифом або аукціонною ціною, вартості врегулювання небалансу гарантованого покупця становить:</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31 грудня 2020 року - 0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2021 року - 10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2022 року - 20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2023 року - 30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2024 року - 40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2025 року - 50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2026 року - 60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2027 року - 70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2028 року - 80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2029 року - 90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2030 року - 100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w:t>
            </w:r>
            <w:r>
              <w:rPr>
                <w:rFonts w:ascii="Times New Roman" w:eastAsia="Times New Roman" w:hAnsi="Times New Roman" w:cs="Times New Roman"/>
                <w:color w:val="000000"/>
                <w:sz w:val="28"/>
                <w:szCs w:val="28"/>
              </w:rPr>
              <w:lastRenderedPageBreak/>
              <w:t>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20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гідроенергію (лише мікро-, міні- та малими гідроелектростанціями), та входить до складу балансуючої групи гарантованого покупця, вартості врегулювання свого небалансу гарантованому покупцю здійснюється у </w:t>
            </w:r>
            <w:proofErr w:type="spellStart"/>
            <w:r>
              <w:rPr>
                <w:rFonts w:ascii="Times New Roman" w:eastAsia="Times New Roman" w:hAnsi="Times New Roman" w:cs="Times New Roman"/>
                <w:color w:val="000000"/>
                <w:sz w:val="28"/>
                <w:szCs w:val="28"/>
              </w:rPr>
              <w:t>paзi</w:t>
            </w:r>
            <w:proofErr w:type="spellEnd"/>
            <w:r>
              <w:rPr>
                <w:rFonts w:ascii="Times New Roman" w:eastAsia="Times New Roman" w:hAnsi="Times New Roman" w:cs="Times New Roman"/>
                <w:color w:val="000000"/>
                <w:sz w:val="28"/>
                <w:szCs w:val="28"/>
              </w:rPr>
              <w:t xml:space="preserve">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w:t>
            </w:r>
            <w:r>
              <w:rPr>
                <w:rFonts w:ascii="Times New Roman" w:eastAsia="Times New Roman" w:hAnsi="Times New Roman" w:cs="Times New Roman"/>
                <w:color w:val="000000"/>
                <w:sz w:val="28"/>
                <w:szCs w:val="28"/>
              </w:rPr>
              <w:lastRenderedPageBreak/>
              <w:t>енергії такого суб’єкта господарювання від його погодинного графіка відпуску електричної енергії більш як на 10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31 грудня 2029 року частка відшкодування вартості врегулювання небалансу гарантованому покупцю суб’єктами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введених в експлуатацію до дня набрання чинності цим Законом, становить 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31 грудня року, в якому відбулося фактичне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відшкодування суб’єктом господарювання, який виробляє електричну енергію на об’єктах електроенергетики, що використовують енергію вітру, вартості його небалансу гарантованому покупцю здійснюється у разі відхилення фактичних погодинних обсягів відпуску електричної енергії таким суб’єктом господарювання від його погодинного графіка відпуску електричної енергії більш як на 10 відсотків; для </w:t>
            </w:r>
            <w:r>
              <w:rPr>
                <w:rFonts w:ascii="Times New Roman" w:eastAsia="Times New Roman" w:hAnsi="Times New Roman" w:cs="Times New Roman"/>
                <w:color w:val="000000"/>
                <w:sz w:val="28"/>
                <w:szCs w:val="28"/>
              </w:rPr>
              <w:lastRenderedPageBreak/>
              <w:t>суб’єкта господарювання, який виробляє електричну енергію на об’єктах електроенергетики, що використовують енергію сонячного випромінювання, - у разі відхилення більш як на 5 відсотків; для суб’єкта господарювання, який виробляє електричну енергію на об’єктах електроенергетики, що використовують гідроенергію (лише мікро-, міні- та малими гідроелектростанціями), - у разі відхилення більш як на 5 відсотків. Підтвердження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здійснюється уповноваженим Кабінетом Міністрів України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A0744B">
            <w:pPr>
              <w:spacing w:after="60" w:line="216" w:lineRule="auto"/>
              <w:jc w:val="both"/>
              <w:rPr>
                <w:rFonts w:ascii="Times New Roman" w:eastAsia="Times New Roman" w:hAnsi="Times New Roman" w:cs="Times New Roman"/>
                <w:color w:val="000000"/>
                <w:sz w:val="28"/>
                <w:szCs w:val="28"/>
              </w:rPr>
            </w:pPr>
          </w:p>
        </w:tc>
        <w:tc>
          <w:tcPr>
            <w:tcW w:w="5386"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Розділ XVII "Прикінцеві та Перехідні положення"</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31 грудня 2020 року - 0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2021 року - 10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2022 року - 20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2023 року - 30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2024 року - 40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2025 року - 50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2026 року - 60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2027 року - 70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2028 року - 80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2029 року - 90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2030 року - 100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Частка відшкодування </w:t>
            </w:r>
            <w:r>
              <w:rPr>
                <w:rFonts w:ascii="Times New Roman" w:eastAsia="Times New Roman" w:hAnsi="Times New Roman" w:cs="Times New Roman"/>
                <w:color w:val="000000"/>
                <w:sz w:val="28"/>
                <w:szCs w:val="28"/>
              </w:rPr>
              <w:lastRenderedPageBreak/>
              <w:t>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31 грудня 2020 року - 0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2021 року - 50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1 січня 2022 року - 100 відсотків.</w:t>
            </w:r>
          </w:p>
          <w:p w:rsidR="00A0744B" w:rsidRDefault="00F2411E">
            <w:pPr>
              <w:spacing w:after="60" w:line="216"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w:t>
            </w:r>
          </w:p>
          <w:p w:rsidR="00A0744B" w:rsidRDefault="00F2411E">
            <w:pPr>
              <w:spacing w:after="60" w:line="216" w:lineRule="auto"/>
              <w:ind w:firstLine="27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w:t>
            </w:r>
            <w:r>
              <w:rPr>
                <w:rFonts w:ascii="Times New Roman" w:eastAsia="Times New Roman" w:hAnsi="Times New Roman" w:cs="Times New Roman"/>
                <w:color w:val="000000"/>
                <w:sz w:val="28"/>
                <w:szCs w:val="28"/>
              </w:rPr>
              <w:lastRenderedPageBreak/>
              <w:t>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A0744B">
            <w:pPr>
              <w:spacing w:after="60" w:line="216" w:lineRule="auto"/>
              <w:ind w:firstLine="272"/>
              <w:jc w:val="both"/>
              <w:rPr>
                <w:rFonts w:ascii="Times New Roman" w:eastAsia="Times New Roman" w:hAnsi="Times New Roman" w:cs="Times New Roman"/>
                <w:b/>
                <w:color w:val="000000"/>
                <w:sz w:val="28"/>
                <w:szCs w:val="28"/>
              </w:rPr>
            </w:pPr>
          </w:p>
        </w:tc>
        <w:tc>
          <w:tcPr>
            <w:tcW w:w="4248" w:type="dxa"/>
          </w:tcPr>
          <w:p w:rsidR="00A0744B" w:rsidRDefault="00A0744B">
            <w:pPr>
              <w:spacing w:after="120" w:line="216" w:lineRule="auto"/>
              <w:jc w:val="both"/>
              <w:rPr>
                <w:rFonts w:ascii="Times New Roman" w:eastAsia="Times New Roman" w:hAnsi="Times New Roman" w:cs="Times New Roman"/>
                <w:color w:val="000000"/>
                <w:sz w:val="28"/>
                <w:szCs w:val="28"/>
              </w:rPr>
            </w:pPr>
          </w:p>
          <w:p w:rsidR="00A0744B" w:rsidRDefault="00F2411E">
            <w:pPr>
              <w:spacing w:after="120" w:line="216" w:lineRule="auto"/>
              <w:jc w:val="both"/>
              <w:rPr>
                <w:rFonts w:ascii="Times New Roman" w:eastAsia="Times New Roman" w:hAnsi="Times New Roman" w:cs="Times New Roman"/>
                <w:color w:val="000000"/>
                <w:sz w:val="28"/>
                <w:szCs w:val="28"/>
              </w:rPr>
            </w:pPr>
            <w:bookmarkStart w:id="17" w:name="_heading=h.3rdcrjn" w:colFirst="0" w:colLast="0"/>
            <w:bookmarkEnd w:id="17"/>
            <w:r>
              <w:rPr>
                <w:rFonts w:ascii="Times New Roman" w:eastAsia="Times New Roman" w:hAnsi="Times New Roman" w:cs="Times New Roman"/>
                <w:color w:val="000000"/>
                <w:sz w:val="28"/>
                <w:szCs w:val="28"/>
              </w:rPr>
              <w:t>Чинною редакцією Закону передбачається поступове введення відповідальності за небаланси з 1 січня 10% із зростанням на 10% кожного року до досягнення показника 100% у 2030 році.</w:t>
            </w:r>
          </w:p>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Пропонується, для об’єктів встановлена потужність яких не перевищує 1 МВт, збереження поточних умов. </w:t>
            </w:r>
          </w:p>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об’єктів встановлена потужність яких перевищує 1 МВт введення відповідальності за небаланси в розмірі 50% з 2021 року; 100% з 2022 року.</w:t>
            </w:r>
          </w:p>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Пропонується встановлення похибки прогнозування об’єктів, що виробляють електричну енергію з енергії вітру не більш ніж 10%, з інших видів альтернативних джерел енергії 5% до 31.12.2029.</w:t>
            </w:r>
          </w:p>
          <w:p w:rsidR="00A0744B" w:rsidRDefault="00F2411E">
            <w:pPr>
              <w:spacing w:after="120" w:line="216" w:lineRule="auto"/>
              <w:ind w:firstLine="456"/>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Питання пришвидшення встановлення відповідальності за небаланс своїх фактичних та прогнозних графіків відпуску </w:t>
            </w:r>
            <w:r>
              <w:rPr>
                <w:rFonts w:ascii="Times New Roman" w:eastAsia="Times New Roman" w:hAnsi="Times New Roman" w:cs="Times New Roman"/>
                <w:color w:val="000000"/>
                <w:sz w:val="28"/>
                <w:szCs w:val="28"/>
              </w:rPr>
              <w:lastRenderedPageBreak/>
              <w:t xml:space="preserve">електричної енергії на рівні з </w:t>
            </w:r>
            <w:r>
              <w:rPr>
                <w:rFonts w:ascii="Times New Roman" w:eastAsia="Times New Roman" w:hAnsi="Times New Roman" w:cs="Times New Roman"/>
                <w:sz w:val="28"/>
                <w:szCs w:val="28"/>
              </w:rPr>
              <w:t>усіма</w:t>
            </w:r>
            <w:r>
              <w:rPr>
                <w:rFonts w:ascii="Times New Roman" w:eastAsia="Times New Roman" w:hAnsi="Times New Roman" w:cs="Times New Roman"/>
                <w:color w:val="000000"/>
                <w:sz w:val="28"/>
                <w:szCs w:val="28"/>
              </w:rPr>
              <w:t xml:space="preserve"> іншими учасниками ринку є одним із ключових для забезпечення операційної безпеки і економічності режимів ОЕС України. Це створить для таких суб’єктів економічні стимули для підвищення точності прогнозування своїх графіків відпуску електричної енергії, зменшить фінансове навантаження на споживачів електричної енергії та сприятиме розвитку сектору балансуючих потужностей.</w:t>
            </w:r>
          </w:p>
        </w:tc>
      </w:tr>
      <w:tr w:rsidR="00A0744B">
        <w:tc>
          <w:tcPr>
            <w:tcW w:w="15133" w:type="dxa"/>
            <w:gridSpan w:val="3"/>
          </w:tcPr>
          <w:p w:rsidR="00A0744B" w:rsidRDefault="00F2411E">
            <w:pPr>
              <w:spacing w:after="60" w:line="216" w:lineRule="auto"/>
              <w:ind w:firstLine="45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Закон України «Про режим іноземного інвестування»</w:t>
            </w:r>
          </w:p>
        </w:tc>
      </w:tr>
      <w:tr w:rsidR="00A0744B">
        <w:tc>
          <w:tcPr>
            <w:tcW w:w="5499" w:type="dxa"/>
          </w:tcPr>
          <w:p w:rsidR="00A0744B" w:rsidRDefault="00F2411E">
            <w:pPr>
              <w:tabs>
                <w:tab w:val="left" w:pos="1560"/>
              </w:tabs>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7. Правовий режим інвестиційної діяльності</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tabs>
                <w:tab w:val="left" w:pos="1560"/>
              </w:tabs>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ПОЛОЖЕННЯ </w:t>
            </w:r>
            <w:r>
              <w:rPr>
                <w:rFonts w:ascii="Times New Roman" w:eastAsia="Times New Roman" w:hAnsi="Times New Roman" w:cs="Times New Roman"/>
                <w:b/>
                <w:sz w:val="28"/>
                <w:szCs w:val="28"/>
              </w:rPr>
              <w:t>ВІДСУТНЄ</w:t>
            </w:r>
          </w:p>
        </w:tc>
        <w:tc>
          <w:tcPr>
            <w:tcW w:w="5386" w:type="dxa"/>
          </w:tcPr>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7. Правовий режим інвестиційної діяльності</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Законами України для суб'єктів господарської діяльності, які </w:t>
            </w:r>
            <w:r>
              <w:rPr>
                <w:rFonts w:ascii="Times New Roman" w:eastAsia="Times New Roman" w:hAnsi="Times New Roman" w:cs="Times New Roman"/>
                <w:b/>
                <w:color w:val="000000"/>
                <w:sz w:val="28"/>
                <w:szCs w:val="28"/>
              </w:rPr>
              <w:lastRenderedPageBreak/>
              <w:t>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 в тому числі гарантії захисту інвестицій від зміни законодавства передбачені цим Законом.</w:t>
            </w:r>
          </w:p>
        </w:tc>
        <w:tc>
          <w:tcPr>
            <w:tcW w:w="4248" w:type="dxa"/>
          </w:tcPr>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Надання державних гарантій інвесторам галузі відновлюваної енергетики України стосовно захисту інвестицій та незмінності законодавства.</w:t>
            </w:r>
          </w:p>
          <w:p w:rsidR="00A0744B" w:rsidRDefault="00A0744B">
            <w:pPr>
              <w:spacing w:after="120" w:line="216" w:lineRule="auto"/>
              <w:ind w:firstLine="456"/>
              <w:jc w:val="both"/>
              <w:rPr>
                <w:rFonts w:ascii="Times New Roman" w:eastAsia="Times New Roman" w:hAnsi="Times New Roman" w:cs="Times New Roman"/>
                <w:color w:val="000000"/>
                <w:sz w:val="28"/>
                <w:szCs w:val="28"/>
              </w:rPr>
            </w:pPr>
          </w:p>
        </w:tc>
      </w:tr>
      <w:tr w:rsidR="00A0744B">
        <w:tc>
          <w:tcPr>
            <w:tcW w:w="5499" w:type="dxa"/>
          </w:tcPr>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Стаття 8. Гарантії у разі зміни законодавства</w:t>
            </w: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18" w:name="bookmark=id.4i7ojhp" w:colFirst="0" w:colLast="0"/>
            <w:bookmarkEnd w:id="18"/>
            <w:r>
              <w:rPr>
                <w:rFonts w:ascii="Times New Roman" w:eastAsia="Times New Roman" w:hAnsi="Times New Roman" w:cs="Times New Roman"/>
                <w:color w:val="000000"/>
                <w:sz w:val="28"/>
                <w:szCs w:val="28"/>
              </w:rPr>
              <w:t>Якщо в подальшому спеціальним законодавством України про іноземні інвестиції будуть змінюватися гарантії захисту іноземних інвестицій, зазначені в розділі II цього Закону,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w:t>
            </w: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bookmarkStart w:id="19" w:name="bookmark=id.2xcytpi" w:colFirst="0" w:colLast="0"/>
            <w:bookmarkEnd w:id="19"/>
            <w:r>
              <w:rPr>
                <w:rFonts w:ascii="Times New Roman" w:eastAsia="Times New Roman" w:hAnsi="Times New Roman" w:cs="Times New Roman"/>
                <w:color w:val="000000"/>
                <w:sz w:val="28"/>
                <w:szCs w:val="28"/>
              </w:rPr>
              <w:t>До прав і обов'язків сторін, визначених угодою про розподіл продукції, протягом строку її дії застосовується законодавство України, чинне на момент її укладення. Зазначені гарантії не поширюються на зміни законодавства, що стосуються питань оборони, національної безпеки, забезпечення громадського порядку, охорони довкілля.</w:t>
            </w:r>
          </w:p>
          <w:p w:rsidR="00A0744B" w:rsidRDefault="00A0744B">
            <w:pPr>
              <w:spacing w:after="60" w:line="216" w:lineRule="auto"/>
              <w:ind w:firstLine="272"/>
              <w:jc w:val="both"/>
              <w:rPr>
                <w:rFonts w:ascii="Times New Roman" w:eastAsia="Times New Roman" w:hAnsi="Times New Roman" w:cs="Times New Roman"/>
                <w:b/>
                <w:color w:val="000000"/>
                <w:sz w:val="28"/>
                <w:szCs w:val="28"/>
              </w:rPr>
            </w:pPr>
          </w:p>
        </w:tc>
        <w:tc>
          <w:tcPr>
            <w:tcW w:w="5386" w:type="dxa"/>
          </w:tcPr>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8. Гарантії у разі зміни законодавства</w:t>
            </w:r>
          </w:p>
          <w:p w:rsidR="00A0744B" w:rsidRDefault="00F2411E">
            <w:pPr>
              <w:shd w:val="clear" w:color="auto" w:fill="FFFFFF"/>
              <w:spacing w:after="60" w:line="216"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Якщо в подальшому спеціальним законодавством України про іноземні інвестиції, </w:t>
            </w:r>
            <w:r>
              <w:rPr>
                <w:rFonts w:ascii="Times New Roman" w:eastAsia="Times New Roman" w:hAnsi="Times New Roman" w:cs="Times New Roman"/>
                <w:b/>
                <w:color w:val="000000"/>
                <w:sz w:val="28"/>
                <w:szCs w:val="28"/>
              </w:rPr>
              <w:t>або законами  України, якими надавалися державні гарантії</w:t>
            </w:r>
            <w:r>
              <w:rPr>
                <w:rFonts w:ascii="Times New Roman" w:eastAsia="Times New Roman" w:hAnsi="Times New Roman" w:cs="Times New Roman"/>
                <w:color w:val="000000"/>
                <w:sz w:val="28"/>
                <w:szCs w:val="28"/>
              </w:rPr>
              <w:t xml:space="preserve">, будуть змінюватися гарантії захисту іноземних інвестицій, зазначені в розділі II цього Закону </w:t>
            </w:r>
            <w:r>
              <w:rPr>
                <w:rFonts w:ascii="Times New Roman" w:eastAsia="Times New Roman" w:hAnsi="Times New Roman" w:cs="Times New Roman"/>
                <w:b/>
                <w:color w:val="000000"/>
                <w:sz w:val="28"/>
                <w:szCs w:val="28"/>
              </w:rPr>
              <w:t>або в законах України, якими надавалися державні гарантії</w:t>
            </w:r>
            <w:r>
              <w:rPr>
                <w:rFonts w:ascii="Times New Roman" w:eastAsia="Times New Roman" w:hAnsi="Times New Roman" w:cs="Times New Roman"/>
                <w:color w:val="000000"/>
                <w:sz w:val="28"/>
                <w:szCs w:val="28"/>
              </w:rPr>
              <w:t xml:space="preserve">,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w:t>
            </w:r>
            <w:r>
              <w:rPr>
                <w:rFonts w:ascii="Times New Roman" w:eastAsia="Times New Roman" w:hAnsi="Times New Roman" w:cs="Times New Roman"/>
                <w:b/>
                <w:color w:val="000000"/>
                <w:sz w:val="28"/>
                <w:szCs w:val="28"/>
              </w:rPr>
              <w:t>Державні гарантії захисту іноземних інвестицій, пов’язані з застосуванням "зеленого" тарифу, застосовуються на весь строк дії "зеленого" тарифу.</w:t>
            </w:r>
          </w:p>
          <w:p w:rsidR="00A0744B" w:rsidRDefault="00F2411E">
            <w:pPr>
              <w:shd w:val="clear" w:color="auto" w:fill="FFFFFF"/>
              <w:spacing w:after="60" w:line="216"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До прав і обов'язків сторін, визначених угодою про розподіл продукції, протягом </w:t>
            </w:r>
            <w:r>
              <w:rPr>
                <w:rFonts w:ascii="Times New Roman" w:eastAsia="Times New Roman" w:hAnsi="Times New Roman" w:cs="Times New Roman"/>
                <w:color w:val="000000"/>
                <w:sz w:val="28"/>
                <w:szCs w:val="28"/>
              </w:rPr>
              <w:lastRenderedPageBreak/>
              <w:t xml:space="preserve">строку її дії застосовується законодавство України, чинне на момент її укладення. </w:t>
            </w:r>
            <w:r>
              <w:rPr>
                <w:rFonts w:ascii="Times New Roman" w:eastAsia="Times New Roman" w:hAnsi="Times New Roman" w:cs="Times New Roman"/>
                <w:b/>
                <w:color w:val="000000"/>
                <w:sz w:val="28"/>
                <w:szCs w:val="28"/>
              </w:rPr>
              <w:t>До прав і обов'язків сторін, визначених договором про купівлю-продаж електричної енергії за "зеленим" тарифом, протягом строку його дії застосовується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w:t>
            </w:r>
            <w:r>
              <w:rPr>
                <w:rFonts w:ascii="Times New Roman" w:eastAsia="Times New Roman" w:hAnsi="Times New Roman" w:cs="Times New Roman"/>
                <w:color w:val="000000"/>
                <w:sz w:val="28"/>
                <w:szCs w:val="28"/>
              </w:rPr>
              <w:t xml:space="preserve"> Зазначені гарантії не поширюються на зміни законодавства, що стосуються питань оборони, національної безпеки, забезпечення громадського порядку, охорони довкілля.</w:t>
            </w:r>
          </w:p>
        </w:tc>
        <w:tc>
          <w:tcPr>
            <w:tcW w:w="4248" w:type="dxa"/>
          </w:tcPr>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Надання державних гарантій інвесторам галузі відновлюваної енергетики України стосовно  захисту інвестицій та незмінності законодавства.</w:t>
            </w:r>
          </w:p>
          <w:p w:rsidR="00A0744B" w:rsidRDefault="00A0744B">
            <w:pPr>
              <w:spacing w:after="120" w:line="216" w:lineRule="auto"/>
              <w:ind w:firstLine="456"/>
              <w:jc w:val="both"/>
              <w:rPr>
                <w:rFonts w:ascii="Times New Roman" w:eastAsia="Times New Roman" w:hAnsi="Times New Roman" w:cs="Times New Roman"/>
                <w:color w:val="000000"/>
                <w:sz w:val="28"/>
                <w:szCs w:val="28"/>
              </w:rPr>
            </w:pPr>
          </w:p>
          <w:p w:rsidR="00A0744B" w:rsidRDefault="00A0744B">
            <w:pPr>
              <w:spacing w:after="120" w:line="216" w:lineRule="auto"/>
              <w:ind w:firstLine="456"/>
              <w:jc w:val="both"/>
              <w:rPr>
                <w:rFonts w:ascii="Times New Roman" w:eastAsia="Times New Roman" w:hAnsi="Times New Roman" w:cs="Times New Roman"/>
                <w:color w:val="000000"/>
                <w:sz w:val="28"/>
                <w:szCs w:val="28"/>
              </w:rPr>
            </w:pPr>
          </w:p>
        </w:tc>
      </w:tr>
      <w:tr w:rsidR="00A0744B">
        <w:tc>
          <w:tcPr>
            <w:tcW w:w="15133" w:type="dxa"/>
            <w:gridSpan w:val="3"/>
          </w:tcPr>
          <w:p w:rsidR="00A0744B" w:rsidRDefault="00F2411E">
            <w:pPr>
              <w:spacing w:after="60" w:line="216" w:lineRule="auto"/>
              <w:ind w:firstLine="45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Закон України «Про оренду державного та комунального майна»</w:t>
            </w:r>
          </w:p>
        </w:tc>
      </w:tr>
      <w:tr w:rsidR="00A0744B">
        <w:tc>
          <w:tcPr>
            <w:tcW w:w="5499" w:type="dxa"/>
          </w:tcPr>
          <w:p w:rsidR="00A0744B" w:rsidRDefault="00F2411E">
            <w:pPr>
              <w:shd w:val="clear" w:color="auto" w:fill="FFFFFF"/>
              <w:spacing w:after="60" w:line="216" w:lineRule="auto"/>
              <w:ind w:firstLine="448"/>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Стаття 2.</w:t>
            </w:r>
            <w:r>
              <w:rPr>
                <w:rFonts w:ascii="Times New Roman" w:eastAsia="Times New Roman" w:hAnsi="Times New Roman" w:cs="Times New Roman"/>
                <w:b/>
                <w:color w:val="000000"/>
                <w:sz w:val="28"/>
                <w:szCs w:val="28"/>
              </w:rPr>
              <w:t xml:space="preserve">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rsidR="00A0744B" w:rsidRDefault="00A0744B">
            <w:pPr>
              <w:shd w:val="clear" w:color="auto" w:fill="FFFFFF"/>
              <w:spacing w:after="60" w:line="216" w:lineRule="auto"/>
              <w:ind w:firstLine="448"/>
              <w:jc w:val="both"/>
              <w:rPr>
                <w:rFonts w:ascii="Times New Roman" w:eastAsia="Times New Roman" w:hAnsi="Times New Roman" w:cs="Times New Roman"/>
                <w:b/>
                <w:color w:val="000000"/>
                <w:sz w:val="28"/>
                <w:szCs w:val="28"/>
              </w:rPr>
            </w:pP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hd w:val="clear" w:color="auto" w:fill="FFFFFF"/>
              <w:spacing w:after="60" w:line="216"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Галузеві особливості оренди державного та комунального майна можуть встановлюватися виключно законами.</w:t>
            </w:r>
          </w:p>
          <w:p w:rsidR="00A0744B" w:rsidRDefault="00A0744B">
            <w:pPr>
              <w:shd w:val="clear" w:color="auto" w:fill="FFFFFF"/>
              <w:spacing w:after="60" w:line="216" w:lineRule="auto"/>
              <w:ind w:firstLine="448"/>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hd w:val="clear" w:color="auto" w:fill="FFFFFF"/>
              <w:spacing w:after="60" w:line="216" w:lineRule="auto"/>
              <w:ind w:firstLine="448"/>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ПОЛОЖЕННЯ </w:t>
            </w:r>
            <w:r>
              <w:rPr>
                <w:rFonts w:ascii="Times New Roman" w:eastAsia="Times New Roman" w:hAnsi="Times New Roman" w:cs="Times New Roman"/>
                <w:b/>
                <w:sz w:val="28"/>
                <w:szCs w:val="28"/>
              </w:rPr>
              <w:t>ВІДСУТНЄ</w:t>
            </w:r>
          </w:p>
          <w:p w:rsidR="00A0744B" w:rsidRDefault="00A0744B">
            <w:pPr>
              <w:shd w:val="clear" w:color="auto" w:fill="FFFFFF"/>
              <w:spacing w:after="60" w:line="216" w:lineRule="auto"/>
              <w:ind w:firstLine="450"/>
              <w:jc w:val="both"/>
              <w:rPr>
                <w:rFonts w:ascii="Times New Roman" w:eastAsia="Times New Roman" w:hAnsi="Times New Roman" w:cs="Times New Roman"/>
                <w:b/>
                <w:color w:val="000000"/>
                <w:sz w:val="28"/>
                <w:szCs w:val="28"/>
              </w:rPr>
            </w:pPr>
          </w:p>
        </w:tc>
        <w:tc>
          <w:tcPr>
            <w:tcW w:w="5386" w:type="dxa"/>
          </w:tcPr>
          <w:p w:rsidR="00A0744B" w:rsidRDefault="00F2411E">
            <w:pPr>
              <w:shd w:val="clear" w:color="auto" w:fill="FFFFFF"/>
              <w:spacing w:after="60" w:line="216" w:lineRule="auto"/>
              <w:ind w:firstLine="44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rsidR="00A0744B" w:rsidRDefault="00A0744B">
            <w:pPr>
              <w:shd w:val="clear" w:color="auto" w:fill="FFFFFF"/>
              <w:spacing w:after="60" w:line="216" w:lineRule="auto"/>
              <w:ind w:firstLine="448"/>
              <w:jc w:val="both"/>
              <w:rPr>
                <w:rFonts w:ascii="Times New Roman" w:eastAsia="Times New Roman" w:hAnsi="Times New Roman" w:cs="Times New Roman"/>
                <w:b/>
                <w:color w:val="000000"/>
                <w:sz w:val="28"/>
                <w:szCs w:val="28"/>
              </w:rPr>
            </w:pP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&lt;…&gt;</w:t>
            </w:r>
            <w:r>
              <w:rPr>
                <w:rFonts w:ascii="Times New Roman" w:eastAsia="Times New Roman" w:hAnsi="Times New Roman" w:cs="Times New Roman"/>
                <w:b/>
                <w:color w:val="000000"/>
                <w:sz w:val="28"/>
                <w:szCs w:val="28"/>
              </w:rPr>
              <w:t xml:space="preserve"> </w:t>
            </w:r>
          </w:p>
          <w:p w:rsidR="00A0744B" w:rsidRDefault="00F2411E">
            <w:pPr>
              <w:shd w:val="clear" w:color="auto" w:fill="FFFFFF"/>
              <w:spacing w:after="60" w:line="216"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Галузеві особливості оренди державного та комунального майна можуть встановлюватися виключно законами.</w:t>
            </w:r>
          </w:p>
          <w:p w:rsidR="00A0744B" w:rsidRDefault="00A0744B">
            <w:pPr>
              <w:shd w:val="clear" w:color="auto" w:fill="FFFFFF"/>
              <w:spacing w:after="60" w:line="216" w:lineRule="auto"/>
              <w:ind w:firstLine="448"/>
              <w:jc w:val="both"/>
              <w:rPr>
                <w:rFonts w:ascii="Times New Roman" w:eastAsia="Times New Roman" w:hAnsi="Times New Roman" w:cs="Times New Roman"/>
                <w:color w:val="000000"/>
                <w:sz w:val="28"/>
                <w:szCs w:val="28"/>
              </w:rPr>
            </w:pPr>
          </w:p>
          <w:p w:rsidR="00A0744B" w:rsidRDefault="00F2411E">
            <w:pPr>
              <w:spacing w:after="60" w:line="21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lastRenderedPageBreak/>
              <w:t>&lt;…&gt;</w:t>
            </w:r>
            <w:r>
              <w:rPr>
                <w:rFonts w:ascii="Times New Roman" w:eastAsia="Times New Roman" w:hAnsi="Times New Roman" w:cs="Times New Roman"/>
                <w:b/>
                <w:color w:val="000000"/>
                <w:sz w:val="28"/>
                <w:szCs w:val="28"/>
              </w:rPr>
              <w:t xml:space="preserve"> </w:t>
            </w:r>
          </w:p>
          <w:p w:rsidR="00A0744B" w:rsidRDefault="00F2411E">
            <w:pPr>
              <w:shd w:val="clear" w:color="auto" w:fill="FFFFFF"/>
              <w:spacing w:after="60" w:line="216"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Відносини оренди дахів та/або фасадів будівель та інших капітальних споруд, що перебувають у державній або комунальній власності, для будівництва об’єктів відновлюваної енергетики, які виробляють електричну енергію з енергії сонячного випромінювання, регулюються цим Законом з урахуванням особливостей, передбачених Законом України "Про альтернативні джерела енергії".</w:t>
            </w:r>
          </w:p>
        </w:tc>
        <w:tc>
          <w:tcPr>
            <w:tcW w:w="4248" w:type="dxa"/>
          </w:tcPr>
          <w:p w:rsidR="00A0744B" w:rsidRDefault="00F2411E">
            <w:pPr>
              <w:spacing w:after="120" w:line="216" w:lineRule="auto"/>
              <w:ind w:firstLine="45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Врегулювання питання надання в оренду дахів та/або фасадів будівель та інших капітальних споруд, що перебувають у державній або комунальній власності, для проведення аукціонів на будівництво сонячних електростанцій.</w:t>
            </w:r>
          </w:p>
          <w:p w:rsidR="00A0744B" w:rsidRDefault="00A0744B">
            <w:pPr>
              <w:spacing w:after="120" w:line="216" w:lineRule="auto"/>
              <w:ind w:firstLine="456"/>
              <w:jc w:val="both"/>
              <w:rPr>
                <w:rFonts w:ascii="Times New Roman" w:eastAsia="Times New Roman" w:hAnsi="Times New Roman" w:cs="Times New Roman"/>
                <w:color w:val="000000"/>
                <w:sz w:val="28"/>
                <w:szCs w:val="28"/>
                <w:shd w:val="clear" w:color="auto" w:fill="EA9999"/>
              </w:rPr>
            </w:pPr>
          </w:p>
        </w:tc>
      </w:tr>
    </w:tbl>
    <w:p w:rsidR="00A0744B" w:rsidRDefault="00F2411E">
      <w:pPr>
        <w:shd w:val="clear" w:color="auto" w:fill="FFFFFF"/>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В.о. Генерального директора</w:t>
      </w:r>
    </w:p>
    <w:p w:rsidR="00A0744B" w:rsidRDefault="00F2411E">
      <w:pPr>
        <w:shd w:val="clear" w:color="auto" w:fill="FFFFFF"/>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Директорату електроенергетичного комплексу</w:t>
      </w:r>
    </w:p>
    <w:p w:rsidR="00A0744B" w:rsidRDefault="00F2411E">
      <w:pPr>
        <w:shd w:val="clear" w:color="auto" w:fill="FFFFFF"/>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та розвитку ринку електричної енергії </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О. МАРТИНЮК</w:t>
      </w:r>
    </w:p>
    <w:p w:rsidR="00A0744B" w:rsidRDefault="00A0744B">
      <w:pPr>
        <w:shd w:val="clear" w:color="auto" w:fill="FFFFFF"/>
        <w:spacing w:after="0" w:line="240" w:lineRule="auto"/>
        <w:rPr>
          <w:rFonts w:ascii="Times New Roman" w:eastAsia="Times New Roman" w:hAnsi="Times New Roman" w:cs="Times New Roman"/>
          <w:b/>
          <w:sz w:val="28"/>
          <w:szCs w:val="28"/>
        </w:rPr>
      </w:pPr>
    </w:p>
    <w:p w:rsidR="00A0744B" w:rsidRDefault="00F2411E" w:rsidP="00E250AB">
      <w:pPr>
        <w:shd w:val="clear" w:color="auto" w:fill="FFFFFF"/>
        <w:rPr>
          <w:rFonts w:ascii="Times New Roman" w:eastAsia="Times New Roman" w:hAnsi="Times New Roman" w:cs="Times New Roman"/>
          <w:sz w:val="28"/>
          <w:szCs w:val="28"/>
        </w:rPr>
      </w:pPr>
      <w:r>
        <w:rPr>
          <w:rFonts w:ascii="Times New Roman" w:eastAsia="Times New Roman" w:hAnsi="Times New Roman" w:cs="Times New Roman"/>
          <w:b/>
          <w:sz w:val="28"/>
          <w:szCs w:val="28"/>
        </w:rPr>
        <w:t>«_____»_____________ 2020 р.</w:t>
      </w:r>
    </w:p>
    <w:sectPr w:rsidR="00A0744B" w:rsidSect="007022EF">
      <w:headerReference w:type="default" r:id="rId10"/>
      <w:pgSz w:w="16839" w:h="11907" w:orient="landscape" w:code="9"/>
      <w:pgMar w:top="851" w:right="1134" w:bottom="850" w:left="1134"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6C1" w:rsidRDefault="00E076C1">
      <w:pPr>
        <w:spacing w:after="0" w:line="240" w:lineRule="auto"/>
      </w:pPr>
      <w:r>
        <w:separator/>
      </w:r>
    </w:p>
  </w:endnote>
  <w:endnote w:type="continuationSeparator" w:id="0">
    <w:p w:rsidR="00E076C1" w:rsidRDefault="00E07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6C1" w:rsidRDefault="00E076C1">
      <w:pPr>
        <w:spacing w:after="0" w:line="240" w:lineRule="auto"/>
      </w:pPr>
      <w:r>
        <w:separator/>
      </w:r>
    </w:p>
  </w:footnote>
  <w:footnote w:type="continuationSeparator" w:id="0">
    <w:p w:rsidR="00E076C1" w:rsidRDefault="00E076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44B" w:rsidRDefault="00F2411E">
    <w:pPr>
      <w:pBdr>
        <w:top w:val="nil"/>
        <w:left w:val="nil"/>
        <w:bottom w:val="nil"/>
        <w:right w:val="nil"/>
        <w:between w:val="nil"/>
      </w:pBdr>
      <w:tabs>
        <w:tab w:val="center" w:pos="4844"/>
        <w:tab w:val="right" w:pos="9689"/>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9B6878">
      <w:rPr>
        <w:rFonts w:ascii="Times New Roman" w:eastAsia="Times New Roman" w:hAnsi="Times New Roman" w:cs="Times New Roman"/>
        <w:noProof/>
        <w:color w:val="000000"/>
        <w:sz w:val="28"/>
        <w:szCs w:val="28"/>
      </w:rPr>
      <w:t>4</w:t>
    </w:r>
    <w:r>
      <w:rPr>
        <w:rFonts w:ascii="Times New Roman" w:eastAsia="Times New Roman" w:hAnsi="Times New Roman" w:cs="Times New Roman"/>
        <w:color w:val="000000"/>
        <w:sz w:val="28"/>
        <w:szCs w:val="28"/>
      </w:rPr>
      <w:fldChar w:fldCharType="end"/>
    </w:r>
  </w:p>
  <w:p w:rsidR="00A0744B" w:rsidRDefault="00A0744B">
    <w:pPr>
      <w:pBdr>
        <w:top w:val="nil"/>
        <w:left w:val="nil"/>
        <w:bottom w:val="nil"/>
        <w:right w:val="nil"/>
        <w:between w:val="nil"/>
      </w:pBdr>
      <w:tabs>
        <w:tab w:val="center" w:pos="4844"/>
        <w:tab w:val="right" w:pos="9689"/>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44B"/>
    <w:rsid w:val="000A1C3F"/>
    <w:rsid w:val="00193EC0"/>
    <w:rsid w:val="001F6AEE"/>
    <w:rsid w:val="00292247"/>
    <w:rsid w:val="004C6B83"/>
    <w:rsid w:val="00534C61"/>
    <w:rsid w:val="00605B4D"/>
    <w:rsid w:val="00646C86"/>
    <w:rsid w:val="007022EF"/>
    <w:rsid w:val="009B6878"/>
    <w:rsid w:val="00A0744B"/>
    <w:rsid w:val="00A24987"/>
    <w:rsid w:val="00B8175F"/>
    <w:rsid w:val="00E076C1"/>
    <w:rsid w:val="00E250AB"/>
    <w:rsid w:val="00E80CD5"/>
    <w:rsid w:val="00F2411E"/>
    <w:rsid w:val="00F62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pPr>
      <w:pBdr>
        <w:top w:val="nil"/>
        <w:left w:val="nil"/>
        <w:bottom w:val="nil"/>
        <w:right w:val="nil"/>
        <w:between w:val="nil"/>
      </w:pBdr>
      <w:spacing w:before="240" w:after="60"/>
      <w:jc w:val="center"/>
    </w:pPr>
    <w:rPr>
      <w:rFonts w:ascii="Arial" w:eastAsia="Arial" w:hAnsi="Arial" w:cs="Arial"/>
      <w:b/>
      <w:sz w:val="32"/>
      <w:szCs w:val="32"/>
    </w:rPr>
  </w:style>
  <w:style w:type="table" w:customStyle="1" w:styleId="TableNormal0">
    <w:name w:val="Table Normal"/>
    <w:tblPr>
      <w:tblCellMar>
        <w:top w:w="0" w:type="dxa"/>
        <w:left w:w="0" w:type="dxa"/>
        <w:bottom w:w="0" w:type="dxa"/>
        <w:right w:w="0" w:type="dxa"/>
      </w:tblCellMar>
    </w:tblPr>
  </w:style>
  <w:style w:type="paragraph" w:styleId="a5">
    <w:name w:val="List Paragraph"/>
    <w:basedOn w:val="a"/>
    <w:uiPriority w:val="99"/>
    <w:qFormat/>
    <w:pPr>
      <w:ind w:left="720"/>
      <w:contextualSpacing/>
    </w:pPr>
    <w:rPr>
      <w:rFonts w:eastAsia="Times New Roman" w:cs="Times New Roman"/>
    </w:rPr>
  </w:style>
  <w:style w:type="paragraph" w:customStyle="1" w:styleId="rvps2">
    <w:name w:val="rvps2"/>
    <w:basedOn w:val="a"/>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Pr>
      <w:color w:val="0000FF"/>
      <w:u w:val="single"/>
    </w:rPr>
  </w:style>
  <w:style w:type="paragraph" w:styleId="a7">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rPr>
      <w:rFonts w:ascii="Arial" w:eastAsia="Arial" w:hAnsi="Arial" w:cs="Arial"/>
      <w:b/>
      <w:sz w:val="32"/>
      <w:szCs w:val="32"/>
      <w:lang w:eastAsia="ru-RU"/>
    </w:r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rPr>
  </w:style>
  <w:style w:type="character" w:customStyle="1" w:styleId="rvts46">
    <w:name w:val="rvts46"/>
    <w:basedOn w:val="a0"/>
  </w:style>
  <w:style w:type="character" w:customStyle="1" w:styleId="rvts37">
    <w:name w:val="rvts37"/>
    <w:basedOn w:val="a0"/>
  </w:style>
  <w:style w:type="character" w:customStyle="1" w:styleId="rvts9">
    <w:name w:val="rvts9"/>
    <w:basedOn w:val="a0"/>
  </w:style>
  <w:style w:type="paragraph" w:styleId="aa">
    <w:name w:val="header"/>
    <w:basedOn w:val="a"/>
    <w:link w:val="ab"/>
    <w:uiPriority w:val="99"/>
    <w:unhideWhenUsed/>
    <w:rsid w:val="002C31DA"/>
    <w:pPr>
      <w:tabs>
        <w:tab w:val="center" w:pos="4844"/>
        <w:tab w:val="right" w:pos="9689"/>
      </w:tabs>
      <w:spacing w:after="0" w:line="240" w:lineRule="auto"/>
    </w:pPr>
  </w:style>
  <w:style w:type="character" w:customStyle="1" w:styleId="ab">
    <w:name w:val="Верхний колонтитул Знак"/>
    <w:basedOn w:val="a0"/>
    <w:link w:val="aa"/>
    <w:uiPriority w:val="99"/>
    <w:rsid w:val="002C31DA"/>
  </w:style>
  <w:style w:type="paragraph" w:styleId="ac">
    <w:name w:val="footer"/>
    <w:basedOn w:val="a"/>
    <w:link w:val="ad"/>
    <w:uiPriority w:val="99"/>
    <w:unhideWhenUsed/>
    <w:rsid w:val="002C31DA"/>
    <w:pPr>
      <w:tabs>
        <w:tab w:val="center" w:pos="4844"/>
        <w:tab w:val="right" w:pos="9689"/>
      </w:tabs>
      <w:spacing w:after="0" w:line="240" w:lineRule="auto"/>
    </w:pPr>
  </w:style>
  <w:style w:type="character" w:customStyle="1" w:styleId="ad">
    <w:name w:val="Нижний колонтитул Знак"/>
    <w:basedOn w:val="a0"/>
    <w:link w:val="ac"/>
    <w:uiPriority w:val="99"/>
    <w:rsid w:val="002C31DA"/>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pPr>
      <w:pBdr>
        <w:top w:val="nil"/>
        <w:left w:val="nil"/>
        <w:bottom w:val="nil"/>
        <w:right w:val="nil"/>
        <w:between w:val="nil"/>
      </w:pBdr>
      <w:spacing w:before="240" w:after="60"/>
      <w:jc w:val="center"/>
    </w:pPr>
    <w:rPr>
      <w:rFonts w:ascii="Arial" w:eastAsia="Arial" w:hAnsi="Arial" w:cs="Arial"/>
      <w:b/>
      <w:sz w:val="32"/>
      <w:szCs w:val="32"/>
    </w:rPr>
  </w:style>
  <w:style w:type="table" w:customStyle="1" w:styleId="TableNormal0">
    <w:name w:val="Table Normal"/>
    <w:tblPr>
      <w:tblCellMar>
        <w:top w:w="0" w:type="dxa"/>
        <w:left w:w="0" w:type="dxa"/>
        <w:bottom w:w="0" w:type="dxa"/>
        <w:right w:w="0" w:type="dxa"/>
      </w:tblCellMar>
    </w:tblPr>
  </w:style>
  <w:style w:type="paragraph" w:styleId="a5">
    <w:name w:val="List Paragraph"/>
    <w:basedOn w:val="a"/>
    <w:uiPriority w:val="99"/>
    <w:qFormat/>
    <w:pPr>
      <w:ind w:left="720"/>
      <w:contextualSpacing/>
    </w:pPr>
    <w:rPr>
      <w:rFonts w:eastAsia="Times New Roman" w:cs="Times New Roman"/>
    </w:rPr>
  </w:style>
  <w:style w:type="paragraph" w:customStyle="1" w:styleId="rvps2">
    <w:name w:val="rvps2"/>
    <w:basedOn w:val="a"/>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Pr>
      <w:color w:val="0000FF"/>
      <w:u w:val="single"/>
    </w:rPr>
  </w:style>
  <w:style w:type="paragraph" w:styleId="a7">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rPr>
      <w:rFonts w:ascii="Arial" w:eastAsia="Arial" w:hAnsi="Arial" w:cs="Arial"/>
      <w:b/>
      <w:sz w:val="32"/>
      <w:szCs w:val="32"/>
      <w:lang w:eastAsia="ru-RU"/>
    </w:r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rPr>
  </w:style>
  <w:style w:type="character" w:customStyle="1" w:styleId="rvts46">
    <w:name w:val="rvts46"/>
    <w:basedOn w:val="a0"/>
  </w:style>
  <w:style w:type="character" w:customStyle="1" w:styleId="rvts37">
    <w:name w:val="rvts37"/>
    <w:basedOn w:val="a0"/>
  </w:style>
  <w:style w:type="character" w:customStyle="1" w:styleId="rvts9">
    <w:name w:val="rvts9"/>
    <w:basedOn w:val="a0"/>
  </w:style>
  <w:style w:type="paragraph" w:styleId="aa">
    <w:name w:val="header"/>
    <w:basedOn w:val="a"/>
    <w:link w:val="ab"/>
    <w:uiPriority w:val="99"/>
    <w:unhideWhenUsed/>
    <w:rsid w:val="002C31DA"/>
    <w:pPr>
      <w:tabs>
        <w:tab w:val="center" w:pos="4844"/>
        <w:tab w:val="right" w:pos="9689"/>
      </w:tabs>
      <w:spacing w:after="0" w:line="240" w:lineRule="auto"/>
    </w:pPr>
  </w:style>
  <w:style w:type="character" w:customStyle="1" w:styleId="ab">
    <w:name w:val="Верхний колонтитул Знак"/>
    <w:basedOn w:val="a0"/>
    <w:link w:val="aa"/>
    <w:uiPriority w:val="99"/>
    <w:rsid w:val="002C31DA"/>
  </w:style>
  <w:style w:type="paragraph" w:styleId="ac">
    <w:name w:val="footer"/>
    <w:basedOn w:val="a"/>
    <w:link w:val="ad"/>
    <w:uiPriority w:val="99"/>
    <w:unhideWhenUsed/>
    <w:rsid w:val="002C31DA"/>
    <w:pPr>
      <w:tabs>
        <w:tab w:val="center" w:pos="4844"/>
        <w:tab w:val="right" w:pos="9689"/>
      </w:tabs>
      <w:spacing w:after="0" w:line="240" w:lineRule="auto"/>
    </w:pPr>
  </w:style>
  <w:style w:type="character" w:customStyle="1" w:styleId="ad">
    <w:name w:val="Нижний колонтитул Знак"/>
    <w:basedOn w:val="a0"/>
    <w:link w:val="ac"/>
    <w:uiPriority w:val="99"/>
    <w:rsid w:val="002C31DA"/>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zakon.rada.gov.ua/laws/show/1644-1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64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1tXk70YJSCsmHXo4gTPzddX7bQ==">AMUW2mUmk3QWA3UQFZ3N+4ofxvVwHUEHlhZelKI7i0MSUzQvDhjkPTaPyjG/aSyySZDaYQJXRtHfJwvSIECbGLosVgXQrHDzo7x5CMj3R/PGnBzXkjaF8au+l07KsT7ghHPO1YSJE1KCT+Esln/GjE/U4grGC86gCjpU25m7cdJJmGMQKIf/6/Ry3UNdNZ5UUwZJVIHcmJ4+Me/QTCNkAWVCwrfwwSGXVaZYnDSitLbNuLZ/P/NaRiiqyw/kaXQRXiHVsE51xL1Lg1vxXAOryjAfHiQeByRyu2rNYhH9NiDBHD3Z8mooxtE0DBwsVCs2GpA6b8psN++bJzMZekctnBCxKlJbVSKTTEaC690lT63wWZGJkUsSX/jVomhyonly67st0YkLJNrWdOLJ3ocIajrG83rhizU4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40</Pages>
  <Words>45016</Words>
  <Characters>25660</Characters>
  <Application>Microsoft Office Word</Application>
  <DocSecurity>0</DocSecurity>
  <Lines>213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Владисав Максаков</dc:creator>
  <cp:lastModifiedBy>User</cp:lastModifiedBy>
  <cp:revision>10</cp:revision>
  <cp:lastPrinted>2020-06-15T07:30:00Z</cp:lastPrinted>
  <dcterms:created xsi:type="dcterms:W3CDTF">2020-06-11T02:17:00Z</dcterms:created>
  <dcterms:modified xsi:type="dcterms:W3CDTF">2020-06-15T07:30:00Z</dcterms:modified>
</cp:coreProperties>
</file>