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EAC" w:rsidRPr="00500EAC" w:rsidRDefault="00500EAC" w:rsidP="00500E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500EAC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500EAC" w:rsidRPr="00500EAC" w:rsidRDefault="00500EAC" w:rsidP="00500E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EA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проєкту Закону України «Про ратифікацію Договору між Україною </w:t>
      </w:r>
      <w:r w:rsidRPr="00500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</w:t>
      </w:r>
      <w:r w:rsidRPr="00500EAC">
        <w:rPr>
          <w:rFonts w:ascii="Times New Roman" w:hAnsi="Times New Roman" w:cs="Times New Roman"/>
          <w:b/>
          <w:sz w:val="28"/>
          <w:szCs w:val="28"/>
        </w:rPr>
        <w:t xml:space="preserve">Йорданським Хашимітським Королівством </w:t>
      </w:r>
      <w:r w:rsidRPr="00500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Pr="00500EA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видачу правопорушників» </w:t>
      </w:r>
    </w:p>
    <w:p w:rsidR="00500EAC" w:rsidRPr="00500EAC" w:rsidRDefault="00500EAC" w:rsidP="00500EAC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1. Резюме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Проєктом Закону пропонується ратифікувати </w:t>
      </w: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Договір між </w:t>
      </w:r>
      <w:r w:rsidRPr="00500E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Україною </w:t>
      </w:r>
      <w:r w:rsidRPr="00500EAC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 про видачу правопорушників</w:t>
      </w: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(далі – Договір).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2. Проблема, яка потребує розв’язання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Необхідність створення ефективного механізму співробітництва між компетентними органами Сторін Договору </w:t>
      </w:r>
      <w:r w:rsidRPr="00500EAC">
        <w:rPr>
          <w:rFonts w:ascii="Times New Roman" w:hAnsi="Times New Roman" w:cs="Times New Roman"/>
          <w:sz w:val="28"/>
          <w:szCs w:val="28"/>
          <w:lang w:val="uk-UA"/>
        </w:rPr>
        <w:t xml:space="preserve">у сфері </w:t>
      </w: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видачі правопорушників, які переховуються від правосуддя.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Виконання внутрішньодержавних процедур, необхідних для набрання Договором чинності.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3. Суть проєкту акта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sz w:val="28"/>
          <w:szCs w:val="28"/>
          <w:lang w:val="uk-UA"/>
        </w:rPr>
        <w:t xml:space="preserve">Проєкт Закону </w:t>
      </w:r>
      <w:r w:rsidRPr="00500EA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ратифікацію Договору між Україною </w:t>
      </w:r>
      <w:r w:rsidRPr="00500EAC">
        <w:rPr>
          <w:rFonts w:ascii="Times New Roman" w:hAnsi="Times New Roman" w:cs="Times New Roman"/>
          <w:sz w:val="28"/>
          <w:szCs w:val="28"/>
          <w:lang w:val="uk-UA"/>
        </w:rPr>
        <w:t>та Йорданським Хашимітським Королівством про видачу правопорушників»</w:t>
      </w:r>
      <w:r w:rsidRPr="00500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00EAC">
        <w:rPr>
          <w:rFonts w:ascii="Times New Roman" w:hAnsi="Times New Roman" w:cs="Times New Roman"/>
          <w:sz w:val="28"/>
          <w:szCs w:val="28"/>
          <w:lang w:val="uk-UA"/>
        </w:rPr>
        <w:t>(далі – проєкт Закону) складається з назви та постановляючої частини, яка передбачає ратифікацію Договору.</w:t>
      </w:r>
    </w:p>
    <w:p w:rsidR="00500EAC" w:rsidRPr="00500EAC" w:rsidRDefault="00500EAC" w:rsidP="00500EAC">
      <w:pPr>
        <w:pStyle w:val="21"/>
        <w:ind w:firstLine="709"/>
      </w:pPr>
      <w:r w:rsidRPr="00500EAC">
        <w:t>Невід’ємною частиною проєкту Закону є Договір, що складається                            з преамбули та 24 статей.</w:t>
      </w:r>
    </w:p>
    <w:p w:rsidR="00500EAC" w:rsidRPr="00500EAC" w:rsidRDefault="00500EAC" w:rsidP="00500EA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1 Сторони зобов’язуються видавати одна одній будь-яку особу, яка перебуває на території однієї зі Сторін та яка переслідується за вчинення кримінального правопорушення або розшукується з метою виконання покарання, призначеного судовими органами іншої Сторони внаслідок вчинення кримінального правопорушення. </w:t>
      </w:r>
    </w:p>
    <w:p w:rsidR="00500EAC" w:rsidRPr="00500EAC" w:rsidRDefault="00500EAC" w:rsidP="00500EAC">
      <w:pPr>
        <w:pStyle w:val="21"/>
        <w:ind w:firstLine="709"/>
      </w:pPr>
      <w:r w:rsidRPr="00500EAC">
        <w:t xml:space="preserve">Статтею 2 визначені </w:t>
      </w:r>
      <w:r w:rsidRPr="00500EAC">
        <w:rPr>
          <w:bCs/>
        </w:rPr>
        <w:t>Центральні органи</w:t>
      </w:r>
      <w:r w:rsidRPr="00500EAC">
        <w:rPr>
          <w:b/>
          <w:bCs/>
        </w:rPr>
        <w:t xml:space="preserve"> </w:t>
      </w:r>
      <w:r w:rsidRPr="00500EAC">
        <w:rPr>
          <w:bCs/>
        </w:rPr>
        <w:t>для цілей цього Договору, якими</w:t>
      </w:r>
      <w:r w:rsidRPr="00500EAC">
        <w:rPr>
          <w:b/>
          <w:bCs/>
        </w:rPr>
        <w:t xml:space="preserve"> </w:t>
      </w:r>
      <w:r w:rsidRPr="00500EAC">
        <w:t>для Україні</w:t>
      </w:r>
      <w:r w:rsidRPr="00500EAC">
        <w:rPr>
          <w:b/>
          <w:bCs/>
        </w:rPr>
        <w:t xml:space="preserve"> </w:t>
      </w:r>
      <w:r w:rsidRPr="00500EAC">
        <w:t xml:space="preserve">є Генеральна прокуратура України (Офіс Генерального прокурора з 02.01.2020) на стадії досудового розслідування і Міністерство юстиції України на стадії судового провадження або виконання вироку. </w:t>
      </w:r>
    </w:p>
    <w:p w:rsidR="00500EAC" w:rsidRPr="00500EAC" w:rsidRDefault="00500EAC" w:rsidP="00500EAC">
      <w:pPr>
        <w:pStyle w:val="21"/>
        <w:ind w:firstLine="709"/>
      </w:pPr>
      <w:r w:rsidRPr="00500EAC">
        <w:t xml:space="preserve">Стаття 3 визначає правопорушення, що тягнуть видачу особи. </w:t>
      </w:r>
    </w:p>
    <w:p w:rsidR="00500EAC" w:rsidRPr="00500EAC" w:rsidRDefault="00500EAC" w:rsidP="00500EAC">
      <w:pPr>
        <w:pStyle w:val="21"/>
        <w:ind w:firstLine="709"/>
      </w:pPr>
      <w:r w:rsidRPr="00500EAC">
        <w:t>Підстави для відмови у видачі містяться у статтях 4 – 6 Договору.</w:t>
      </w:r>
    </w:p>
    <w:p w:rsidR="00500EAC" w:rsidRPr="00500EAC" w:rsidRDefault="00500EAC" w:rsidP="00500EAC">
      <w:pPr>
        <w:pStyle w:val="21"/>
        <w:ind w:firstLine="709"/>
      </w:pPr>
      <w:r w:rsidRPr="00500EAC">
        <w:t>Вимоги до форми та змісту запиту про видачу, а також перелік підтвердних документів, містяться у статтях 8 – 10.</w:t>
      </w:r>
    </w:p>
    <w:p w:rsidR="00500EAC" w:rsidRPr="00500EAC" w:rsidRDefault="00500EAC" w:rsidP="00500EAC">
      <w:pPr>
        <w:pStyle w:val="21"/>
        <w:ind w:firstLine="709"/>
      </w:pPr>
      <w:r w:rsidRPr="00500EAC">
        <w:t>Порядок застосування тимчасового арешту розшукуваної особи до отримання запиту про видачу передбачається у статті 13 Договору.</w:t>
      </w:r>
    </w:p>
    <w:p w:rsidR="00500EAC" w:rsidRPr="00500EAC" w:rsidRDefault="00500EAC" w:rsidP="00500EAC">
      <w:pPr>
        <w:pStyle w:val="21"/>
        <w:ind w:firstLine="709"/>
      </w:pPr>
      <w:r w:rsidRPr="00500EAC">
        <w:t>Можливість відстроченої або умовної передачі передбачена у статті 16 Договору.</w:t>
      </w:r>
    </w:p>
    <w:p w:rsidR="00500EAC" w:rsidRPr="00500EAC" w:rsidRDefault="00500EAC" w:rsidP="00500EAC">
      <w:pPr>
        <w:pStyle w:val="21"/>
        <w:ind w:firstLine="709"/>
      </w:pPr>
      <w:r w:rsidRPr="00500EAC">
        <w:t xml:space="preserve">Питання щодо накладення арешту та передачі майна, яке може бути доказом, або яке отримано в результаті правопорушення і яке на момент арешту </w:t>
      </w:r>
      <w:r w:rsidRPr="00500EAC">
        <w:lastRenderedPageBreak/>
        <w:t xml:space="preserve">знаходилося у власності розшукуваної особи, або було виявлено згодом, вирішуються в статті 18 Договору. </w:t>
      </w:r>
    </w:p>
    <w:p w:rsidR="00500EAC" w:rsidRPr="00500EAC" w:rsidRDefault="00500EAC" w:rsidP="00500EAC">
      <w:pPr>
        <w:pStyle w:val="21"/>
        <w:ind w:firstLine="709"/>
      </w:pPr>
      <w:r w:rsidRPr="00500EAC">
        <w:t xml:space="preserve">Умови транзитного перевезення особи містяться у статті 19 Договору. </w:t>
      </w:r>
    </w:p>
    <w:p w:rsidR="00500EAC" w:rsidRPr="00500EAC" w:rsidRDefault="00500EAC" w:rsidP="00500EAC">
      <w:pPr>
        <w:pStyle w:val="21"/>
        <w:ind w:firstLine="709"/>
      </w:pPr>
      <w:r w:rsidRPr="00500EAC">
        <w:t xml:space="preserve">Порядок покриття витрат, які виникли у зв’язку з видачею, врегульовано у статті 20 Договору.  </w:t>
      </w:r>
    </w:p>
    <w:p w:rsidR="00500EAC" w:rsidRPr="00500EAC" w:rsidRDefault="00500EAC" w:rsidP="00500EAC">
      <w:pPr>
        <w:pStyle w:val="21"/>
        <w:ind w:firstLine="709"/>
      </w:pPr>
      <w:r w:rsidRPr="00500EAC">
        <w:t>Відповідно до статті 24 цей Договір укладається на невизначених строк і набирає чинності через тридцять днів після отримання дипломатичними каналами останнього письмового повідомлення про завершення Сторонами внутрішніх процедур, необхідних для набрання ним чинності.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hanging="1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Вплив на бюджет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Витрати, пов’язані з видачею правопорушників покриватимуться у порядку, передбаченому статтею 594 Кримінального процесуального кодексу України.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Прийняття проєкту Закону не потребуватиме додаткових витрат з Державного бюджету Україну,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виконанні Договору.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Видатки на здійснення функцій з виконання міжнародних договорів про правову допомогу та правові відносини у цивільних і кримінальних справах здійснюється у межах обсягу бюджетних коштів, передбачених Міністерству юстиції України за рахунок коштів державного бюджету за бюджетною програмою КПКВК 3601010 «Керівництво та управління у сфері юстиції» (КВК 360).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Розрахунком видатків до кошторису апарату Міністерства юстиції України на 2020 рік за загальним фондом за КЕКВ 2240 «Оплата послуг (крім комунальних)» передбачено кошти у сумі 79,4 тис. грн. на здійснення перекладу запитів судових доручень та інших документів, пов’язаних або тих, що надходять на виконання міжнародних договорів України про правове співробітництво з питань передачі засуджених осіб.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Законом України «Про Державний бюджет України на 2020 рік» Офісу Генерального прокурора затверджено дві бюджетні програми: за КПКВК 0901010 «Здійснення прокурорсько-слідчої діяльності, підготовка та підвищення кваліфікації кадрів прокуратури» та КПКВК 0901030 «Забезпечення функцій Спеціалізованою антикорупційною прокуратурою», – за якими здійснюється виконання усіх функцій органів прокуратури.</w:t>
      </w:r>
    </w:p>
    <w:p w:rsidR="00500EAC" w:rsidRPr="00500EAC" w:rsidRDefault="00500EAC" w:rsidP="00500EA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5. Позиція заінтересованих сторін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стосується питань функціонування місцевого самоврядування, прав та інтересів територіальних громад, місцевого та регіонального розвитку.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не стосується соціально-трудової сфери.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Проєкт Закону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не потребує проведення консультацій з громадськістю.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6. Прогноз впливу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 прийняттям проєкту Закону буде ратифіковано Договір між Україною та Йорданським Хашимітським Королівством про видачу правопорушників, який набирає чинності </w:t>
      </w:r>
      <w:r w:rsidRPr="00500EAC">
        <w:rPr>
          <w:rFonts w:ascii="Times New Roman" w:hAnsi="Times New Roman" w:cs="Times New Roman"/>
          <w:sz w:val="28"/>
          <w:szCs w:val="28"/>
          <w:lang w:val="uk-UA"/>
        </w:rPr>
        <w:t>через тридцять днів після отримання останнього письмового повідомлення про завершення Сторонами внутрішніх процедур, необхідних для набрання ним чинності</w:t>
      </w: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sz w:val="28"/>
          <w:szCs w:val="28"/>
          <w:lang w:val="uk-UA"/>
        </w:rPr>
        <w:t xml:space="preserve">На підставі Договору Сторони зобов’язуються видавати одна одній будь-яку особу, яка перебуває на території однієї зі Сторін, та яка переслідується за вчинення кримінального правопорушення або розшукується з метою виконання покарання у виді позбавлення волі, призначеного судовими органами іншої Сторони внаслідок вчинення кримінального правопорушення.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7. Позиція заінтересованих органів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погоджено з Міністерством закордонних справ України, Міністерством фінансів України, Міністерством розвитку економіки, торгівлі та сільського господарства України та Офісом Генерального прокурора. 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8. Ризики та обмеження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Проєкт Закону відповідає Конвенції про захист прав людини і основоположних свобод. 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У проєкті Закону відсутні положення, які містять ознаки дискримінації. Громадська антидискримінаційна експертиза проєкту Закону не проводилась.  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Положення проєкту Закону є гендерно нейтральними.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 проєкті Закону відсутні правила і процедури, які можуть містити ризики вчинення корупційних правопорушень.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Проєкт Закону відповідає Конституції і законам України.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500EAC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9. Підстава розроблення проєкту акта</w:t>
      </w:r>
    </w:p>
    <w:p w:rsidR="00500EAC" w:rsidRPr="00500EAC" w:rsidRDefault="00500EAC" w:rsidP="00500EAC">
      <w:pPr>
        <w:pStyle w:val="3"/>
        <w:rPr>
          <w:color w:val="auto"/>
        </w:rPr>
      </w:pPr>
    </w:p>
    <w:p w:rsidR="00500EAC" w:rsidRPr="00500EAC" w:rsidRDefault="00500EAC" w:rsidP="00500EAC">
      <w:pPr>
        <w:pStyle w:val="3"/>
        <w:rPr>
          <w:color w:val="auto"/>
        </w:rPr>
      </w:pPr>
      <w:r w:rsidRPr="00500EAC">
        <w:rPr>
          <w:color w:val="auto"/>
        </w:rPr>
        <w:t xml:space="preserve">Укладення зазначеного Договору викликане необхідністю забезпечення належного регулювання міжнародно-правових відносин між Україною та Йорданським Хашимітським Королівством у сфері видачі правопорушників.  </w:t>
      </w:r>
    </w:p>
    <w:p w:rsidR="00500EAC" w:rsidRPr="00500EAC" w:rsidRDefault="00500EAC" w:rsidP="00500EAC">
      <w:pPr>
        <w:pStyle w:val="3"/>
        <w:rPr>
          <w:color w:val="auto"/>
        </w:rPr>
      </w:pPr>
      <w:r w:rsidRPr="00500EAC">
        <w:rPr>
          <w:color w:val="auto"/>
        </w:rPr>
        <w:t>Договір між Україною та Йорданським Хашимітським Королівством</w:t>
      </w:r>
      <w:r w:rsidRPr="00500EAC">
        <w:rPr>
          <w:b/>
          <w:color w:val="auto"/>
        </w:rPr>
        <w:t xml:space="preserve"> </w:t>
      </w:r>
      <w:r w:rsidRPr="00500EAC">
        <w:rPr>
          <w:color w:val="auto"/>
        </w:rPr>
        <w:t xml:space="preserve">про видачу правопорушників було підписано 27 листопада 2019 року в м. Києві. </w:t>
      </w:r>
    </w:p>
    <w:p w:rsidR="00500EAC" w:rsidRPr="00500EAC" w:rsidRDefault="00500EAC" w:rsidP="00500EAC">
      <w:pPr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500EAC">
        <w:rPr>
          <w:rFonts w:ascii="Times New Roman" w:eastAsia="SimSun" w:hAnsi="Times New Roman" w:cs="Times New Roman"/>
          <w:sz w:val="28"/>
          <w:szCs w:val="28"/>
          <w:lang w:val="uk-UA"/>
        </w:rPr>
        <w:lastRenderedPageBreak/>
        <w:t>Договір підлягає ратифікації як такий, що стосується прав, свобод та обов’язків людини і громадянина (відповідно до пункту «б» частини другої статті 9 Закону України «Про міжнародні договори України»).</w:t>
      </w:r>
    </w:p>
    <w:p w:rsidR="00500EAC" w:rsidRPr="00500EAC" w:rsidRDefault="00500EAC" w:rsidP="00500EAC">
      <w:pPr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/>
        </w:rPr>
      </w:pPr>
      <w:r w:rsidRPr="00500EAC">
        <w:rPr>
          <w:rFonts w:ascii="Times New Roman" w:eastAsia="SimSun" w:hAnsi="Times New Roman" w:cs="Times New Roman"/>
          <w:sz w:val="28"/>
          <w:szCs w:val="28"/>
          <w:lang w:val="uk-UA"/>
        </w:rPr>
        <w:t>Згідно з частиною першою статті 9 Закону України «Про міжнародні договори України» ратифікація міжнародних договорів України здійснюється шляхом прийняття закону про ратифікацію, невід’ємною частиною якого є текст міжнародного договору.</w:t>
      </w:r>
    </w:p>
    <w:p w:rsidR="00500EAC" w:rsidRDefault="00500EAC" w:rsidP="00500EAC">
      <w:pPr>
        <w:ind w:firstLine="709"/>
        <w:rPr>
          <w:rFonts w:eastAsia="Times New Roman"/>
          <w:sz w:val="28"/>
          <w:szCs w:val="28"/>
          <w:lang w:val="uk-UA"/>
        </w:rPr>
      </w:pPr>
    </w:p>
    <w:p w:rsidR="00500EAC" w:rsidRDefault="00500EAC" w:rsidP="00500EAC">
      <w:pPr>
        <w:pStyle w:val="21"/>
        <w:ind w:right="-1" w:firstLine="0"/>
        <w:rPr>
          <w:b/>
          <w:i/>
        </w:rPr>
      </w:pPr>
    </w:p>
    <w:p w:rsidR="00500EAC" w:rsidRDefault="00500EAC" w:rsidP="00500EAC">
      <w:pPr>
        <w:pStyle w:val="21"/>
        <w:ind w:right="-1" w:firstLine="0"/>
        <w:rPr>
          <w:b/>
          <w:i/>
        </w:rPr>
      </w:pPr>
    </w:p>
    <w:p w:rsidR="00500EAC" w:rsidRDefault="00500EAC" w:rsidP="00500EAC">
      <w:pPr>
        <w:pStyle w:val="21"/>
        <w:ind w:firstLine="0"/>
        <w:jc w:val="left"/>
        <w:rPr>
          <w:b/>
        </w:rPr>
      </w:pPr>
      <w:r>
        <w:rPr>
          <w:b/>
        </w:rPr>
        <w:t>Міністр</w:t>
      </w:r>
      <w:r>
        <w:rPr>
          <w:b/>
          <w:lang w:val="ru-RU"/>
        </w:rPr>
        <w:t xml:space="preserve"> </w:t>
      </w:r>
      <w:r>
        <w:rPr>
          <w:b/>
        </w:rPr>
        <w:t>юстиції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  <w:lang w:val="ru-RU"/>
        </w:rPr>
        <w:t xml:space="preserve">         </w:t>
      </w:r>
      <w:r>
        <w:rPr>
          <w:b/>
        </w:rPr>
        <w:t xml:space="preserve">Денис МАЛЮСЬКА </w:t>
      </w:r>
    </w:p>
    <w:p w:rsidR="00500EAC" w:rsidRPr="00500EAC" w:rsidRDefault="00500EAC" w:rsidP="00500EAC">
      <w:pPr>
        <w:pStyle w:val="21"/>
        <w:ind w:firstLine="0"/>
        <w:jc w:val="left"/>
        <w:rPr>
          <w:b/>
          <w:lang w:val="ru-RU"/>
        </w:rPr>
      </w:pPr>
    </w:p>
    <w:p w:rsidR="00500EAC" w:rsidRPr="00500EAC" w:rsidRDefault="00500EAC" w:rsidP="00500EAC">
      <w:pPr>
        <w:rPr>
          <w:rFonts w:ascii="Times New Roman" w:hAnsi="Times New Roman" w:cs="Times New Roman"/>
          <w:sz w:val="28"/>
          <w:lang w:val="uk-UA"/>
        </w:rPr>
      </w:pPr>
      <w:bookmarkStart w:id="1" w:name="_Hlk39409475"/>
      <w:r w:rsidRPr="00500EAC">
        <w:rPr>
          <w:rFonts w:ascii="Times New Roman" w:hAnsi="Times New Roman" w:cs="Times New Roman"/>
          <w:sz w:val="28"/>
          <w:lang w:val="uk-UA"/>
        </w:rPr>
        <w:t>___ _______________ 20</w:t>
      </w:r>
      <w:r w:rsidRPr="00500EAC">
        <w:rPr>
          <w:rFonts w:ascii="Times New Roman" w:hAnsi="Times New Roman" w:cs="Times New Roman"/>
          <w:sz w:val="28"/>
          <w:lang w:val="en-US"/>
        </w:rPr>
        <w:t>20</w:t>
      </w:r>
      <w:r w:rsidRPr="00500EAC">
        <w:rPr>
          <w:rFonts w:ascii="Times New Roman" w:hAnsi="Times New Roman" w:cs="Times New Roman"/>
          <w:sz w:val="28"/>
          <w:lang w:val="uk-UA"/>
        </w:rPr>
        <w:t xml:space="preserve"> року</w:t>
      </w:r>
      <w:bookmarkEnd w:id="1"/>
    </w:p>
    <w:p w:rsidR="00500EAC" w:rsidRDefault="00500EAC" w:rsidP="00500EAC">
      <w:pPr>
        <w:pStyle w:val="21"/>
        <w:ind w:firstLine="0"/>
      </w:pPr>
    </w:p>
    <w:p w:rsidR="0068358C" w:rsidRPr="00500EAC" w:rsidRDefault="0068358C" w:rsidP="00500EAC"/>
    <w:sectPr w:rsidR="0068358C" w:rsidRPr="00500EAC" w:rsidSect="00500EAC">
      <w:headerReference w:type="default" r:id="rId7"/>
      <w:pgSz w:w="11906" w:h="16838"/>
      <w:pgMar w:top="1134" w:right="849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7AB" w:rsidRDefault="00C037AB" w:rsidP="00AE1D46">
      <w:pPr>
        <w:spacing w:after="0" w:line="240" w:lineRule="auto"/>
      </w:pPr>
      <w:r>
        <w:separator/>
      </w:r>
    </w:p>
  </w:endnote>
  <w:endnote w:type="continuationSeparator" w:id="0">
    <w:p w:rsidR="00C037AB" w:rsidRDefault="00C037AB" w:rsidP="00AE1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7AB" w:rsidRDefault="00C037AB" w:rsidP="00AE1D46">
      <w:pPr>
        <w:spacing w:after="0" w:line="240" w:lineRule="auto"/>
      </w:pPr>
      <w:r>
        <w:separator/>
      </w:r>
    </w:p>
  </w:footnote>
  <w:footnote w:type="continuationSeparator" w:id="0">
    <w:p w:rsidR="00C037AB" w:rsidRDefault="00C037AB" w:rsidP="00AE1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5633125"/>
      <w:docPartObj>
        <w:docPartGallery w:val="Page Numbers (Top of Page)"/>
        <w:docPartUnique/>
      </w:docPartObj>
    </w:sdtPr>
    <w:sdtEndPr/>
    <w:sdtContent>
      <w:p w:rsidR="00AE1D46" w:rsidRDefault="00AE1D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F56">
          <w:rPr>
            <w:noProof/>
          </w:rPr>
          <w:t>4</w:t>
        </w:r>
        <w:r>
          <w:fldChar w:fldCharType="end"/>
        </w:r>
      </w:p>
    </w:sdtContent>
  </w:sdt>
  <w:p w:rsidR="00AE1D46" w:rsidRDefault="00AE1D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218C8"/>
    <w:multiLevelType w:val="hybridMultilevel"/>
    <w:tmpl w:val="71E4C102"/>
    <w:lvl w:ilvl="0" w:tplc="0422000F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095064"/>
    <w:rsid w:val="00290CCA"/>
    <w:rsid w:val="003E4B3E"/>
    <w:rsid w:val="00450BF3"/>
    <w:rsid w:val="004C5ABA"/>
    <w:rsid w:val="00500EAC"/>
    <w:rsid w:val="00502C68"/>
    <w:rsid w:val="0068358C"/>
    <w:rsid w:val="006C2F56"/>
    <w:rsid w:val="006C49C8"/>
    <w:rsid w:val="00741B54"/>
    <w:rsid w:val="00795C5B"/>
    <w:rsid w:val="008F159B"/>
    <w:rsid w:val="0097076D"/>
    <w:rsid w:val="009E1351"/>
    <w:rsid w:val="00AE1D46"/>
    <w:rsid w:val="00B11B1E"/>
    <w:rsid w:val="00B96008"/>
    <w:rsid w:val="00C037AB"/>
    <w:rsid w:val="00D10727"/>
    <w:rsid w:val="00D877C7"/>
    <w:rsid w:val="00E3135B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1455D-0DF2-4E1D-91C5-CC3811D0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header"/>
    <w:basedOn w:val="a"/>
    <w:link w:val="a4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E1D46"/>
  </w:style>
  <w:style w:type="paragraph" w:styleId="a5">
    <w:name w:val="footer"/>
    <w:basedOn w:val="a"/>
    <w:link w:val="a6"/>
    <w:uiPriority w:val="99"/>
    <w:unhideWhenUsed/>
    <w:rsid w:val="00AE1D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E1D46"/>
  </w:style>
  <w:style w:type="paragraph" w:styleId="21">
    <w:name w:val="Body Text Indent 2"/>
    <w:basedOn w:val="a"/>
    <w:link w:val="22"/>
    <w:uiPriority w:val="99"/>
    <w:unhideWhenUsed/>
    <w:rsid w:val="00500EAC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500EAC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semiHidden/>
    <w:unhideWhenUsed/>
    <w:rsid w:val="00500EAC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500EAC"/>
    <w:rPr>
      <w:rFonts w:ascii="Times New Roman" w:eastAsia="Times New Roman" w:hAnsi="Times New Roman" w:cs="Times New Roman"/>
      <w:color w:val="000000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4528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2020-05-04T13:25:00Z</cp:lastPrinted>
  <dcterms:created xsi:type="dcterms:W3CDTF">2020-06-01T12:58:00Z</dcterms:created>
  <dcterms:modified xsi:type="dcterms:W3CDTF">2020-06-01T12:58:00Z</dcterms:modified>
</cp:coreProperties>
</file>