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TMLPreformatted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left="5940" w:right="0" w:hanging="0"/>
        <w:jc w:val="both"/>
        <w:rPr/>
      </w:pPr>
      <w:r>
        <w:rPr>
          <w:rFonts w:cs="Times New Roman" w:ascii="Times New Roman" w:hAnsi="Times New Roman"/>
          <w:b/>
          <w:sz w:val="28"/>
          <w:lang w:val="uk-UA"/>
        </w:rPr>
        <w:t xml:space="preserve">Проект </w:t>
      </w:r>
    </w:p>
    <w:p>
      <w:pPr>
        <w:pStyle w:val="HTMLPreformatted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left="5940" w:right="0" w:hanging="0"/>
        <w:jc w:val="both"/>
        <w:rPr/>
      </w:pPr>
      <w:r>
        <w:rPr>
          <w:rFonts w:cs="Times New Roman" w:ascii="Times New Roman" w:hAnsi="Times New Roman"/>
          <w:b/>
          <w:sz w:val="28"/>
          <w:lang w:val="uk-UA"/>
        </w:rPr>
        <w:t>вноситься народними</w:t>
      </w:r>
    </w:p>
    <w:p>
      <w:pPr>
        <w:pStyle w:val="HTMLPreformatted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left="5940" w:right="0" w:hanging="0"/>
        <w:jc w:val="both"/>
        <w:rPr/>
      </w:pPr>
      <w:r>
        <w:rPr>
          <w:rFonts w:cs="Times New Roman" w:ascii="Times New Roman" w:hAnsi="Times New Roman"/>
          <w:b/>
          <w:sz w:val="28"/>
          <w:lang w:val="uk-UA"/>
        </w:rPr>
        <w:t>депутатами України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>Совсун І.Р. (посв. 223)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Бабак С.В. (посв. 11)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Бардіна М.О. (посв. 61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Геращенко І.А. (посв. 188)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Грищук Р.Л. (посв. 222)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Жмеренецький О.С. (посв. 391)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Іонова М.М. (посв. 208)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Колебошин С.В. (посв. 341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Павленко Р.М. (посв. 203)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Умеров Р. Е. (посв. 225)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Чийгоз А.З. (посв. 193)</w:t>
      </w:r>
    </w:p>
    <w:p>
      <w:pPr>
        <w:pStyle w:val="Normal"/>
        <w:widowControl/>
        <w:bidi w:val="0"/>
        <w:spacing w:lineRule="auto" w:line="276" w:before="0" w:after="160"/>
        <w:ind w:left="5940" w:right="0" w:hanging="0"/>
        <w:contextualSpacing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Юрчишин Я.Ф. (посв. 215)</w:t>
      </w:r>
    </w:p>
    <w:p>
      <w:pPr>
        <w:pStyle w:val="Normal"/>
        <w:spacing w:lineRule="auto" w:line="240" w:before="0" w:after="0"/>
        <w:ind w:left="0" w:right="0" w:firstLine="567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1"/>
        <w:spacing w:before="0" w:after="160"/>
        <w:ind w:firstLine="7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1"/>
        <w:spacing w:before="0" w:after="160"/>
        <w:ind w:firstLine="7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1"/>
        <w:spacing w:before="0" w:after="160"/>
        <w:ind w:firstLine="7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p>
      <w:pPr>
        <w:pStyle w:val="Style11"/>
        <w:spacing w:before="0" w:after="1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Закон УкраЇни</w:t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120" w:after="12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«Про внесення змін до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деяких законів України щодо забезпечення якості навчальної літератури та засобів навчання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»</w:t>
      </w:r>
    </w:p>
    <w:p>
      <w:pPr>
        <w:pStyle w:val="Normal"/>
        <w:spacing w:before="120" w:after="120"/>
        <w:ind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highlight w:val="white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highlight w:val="white"/>
        </w:rPr>
        <w:t>Верховна Рада України постановляє: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</w:rPr>
        <w:t>І. Внести зміни до таких законодавчих актів У</w:t>
      </w:r>
      <w:r>
        <w:rPr>
          <w:rFonts w:eastAsia="Times New Roman" w:cs="Times New Roman" w:ascii="Times New Roman" w:hAnsi="Times New Roman"/>
          <w:b/>
          <w:sz w:val="28"/>
          <w:szCs w:val="28"/>
          <w:highlight w:val="white"/>
        </w:rPr>
        <w:t>країни:</w:t>
      </w:r>
    </w:p>
    <w:p>
      <w:pPr>
        <w:pStyle w:val="Normal"/>
        <w:numPr>
          <w:ilvl w:val="0"/>
          <w:numId w:val="3"/>
        </w:numPr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white"/>
        </w:rPr>
        <w:t>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Законі України “Про освіту” (Відомості Верховної Ради (ВВР), 2017, № 38-39, ст.380)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highlight w:val="white"/>
        </w:rPr>
        <w:t>: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Статтю 42 доповнити частиною четвертою такого змісту: «Навчальна література та засоби навчання, які використовуються в освітньому процесі у закладах освіти, мають бути створені з дотриманням вимог академічної доброчесності.».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 зв’язку із цим частини четверту - десяту вважати частинами п’ятою - одинадцятою відповідно.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Статтю 75 викласти у такій редакції: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Стаття 75.</w:t>
      </w:r>
      <w:r>
        <w:rPr>
          <w:rFonts w:eastAsia="Times New Roman" w:cs="Times New Roman" w:ascii="Times New Roman" w:hAnsi="Times New Roman"/>
          <w:sz w:val="28"/>
          <w:szCs w:val="28"/>
        </w:rPr>
        <w:t> Наукове і методичне забезпечення освіти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Центральний орган виконавчої влади у сфері освіти і науки здійснює наукове і методичне забезпечення освіти, зокрема: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організовує проведення наукових досліджень у сфері освіти, необхідних для формування та реалізації державної політики у сфері освіти;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організовує розробку державних стандартів освіти, типових освітніх програм та модельних навчальних програм;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організовує забезпечення закладів освіти навчальною літературою (у тому числі підручниками) та засобами навчання, забезпечує їхню якість;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здійснює інші функції, передбачені законодавством.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2. Національна академія наук України, національні галузеві академії наук України, органи із забезпечення якості освіти, центральні органи виконавчої влади, яким підпорядковані заклади освіти, академічні, галузеві науково-дослідні інститути, заклади освіти, інші науково-методичні та методичні установи у взаємодії з відповідними підприємствами, творчими спілками, асоціаціями, товариствами, громадськими об’єднаннями, у тому числі фаховими організаціями (професійними асоціаціями), об’єднаннями роботодавців, незалежними установами оцінювання та забезпечення якості освіти можуть: 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розробляти пропозиції про засади освітньої політики, прогнози, інформаційно-аналітичні матеріали, рекомендації щодо гуманітарного розвитку держави та вдосконалення освітньої сфери;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брати участь у науково-методичному забезпеченні оцінювання і моніторингу якості освіти, зокрема за міжнародними програмами;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3) здійснювати соціологічні дослідження суспільного сприйняття освітньої політики;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4) реалізовувати інші функції, передбачені законодавством та їх установчими документами.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Навчальна література та засоби навчання, які використовуються в освітньому процесі у закладах освіти, мають бути створені з дотриманням вимог академічної доброчесності, повинні мати науковий характер і не можуть містити висловлювань, зображень, відео– чи аудіоматеріалів дискримінаційного характеру, крім випадків, коли такі висловлювання, зображення, відео– чи аудіоматеріали використовуються для ілюстрування чи пояснення явищ дискримінації.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законами.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Наукове і методичне забезпечення освіти, створене за кошти державного та/або місцевих бюджетів, а також висновки за результатами незалежної наукової експертизи розміщуються у вільному доступі на офіційному веб-сайті розробника.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Інтернет,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освіти.».</w:t>
      </w:r>
    </w:p>
    <w:p>
      <w:pPr>
        <w:pStyle w:val="Normal"/>
        <w:pBdr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У Законі України “Про повну загальну середню освіту” (Відомості Верховної Ради (ВВР), 17.03. 2020, № 50 (7307), ст. 12-19):</w:t>
      </w:r>
    </w:p>
    <w:p>
      <w:pPr>
        <w:pStyle w:val="Normal"/>
        <w:pBdr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Статтю 7 доповнити частиною п’ятою такого змісту: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«5. Навчальна література та засоби навчання, які використовуються в освітньому процесі у закладах освіти, мають бути створені з дотриманням вимог академічної доброчесності,  повинні мати науковий характер і не можуть містити висловлювань, зображень, відео- чи аудіоматеріалів дискримінаційного характеру, крім випадків, коли такі висловлювання, зображення, відео- чи аудіоматеріали використовуються для ілюстрування чи пояснення явищ дискримінації.».</w:t>
      </w:r>
    </w:p>
    <w:p>
      <w:pPr>
        <w:pStyle w:val="Normal"/>
        <w:pBdr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Статтю 52 доповнити частинами п’ятою та шостою такого змісту: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«5. Центральний орган виконавчої влади у сфері освіти для забезпечення якості навчальної література та засобів навчання, їх відповідності державним стандартам повної загальної середньої освіти, принципу науковості та відсутності висловлювань, зображень, відео- чи аудіоматеріалів дискримінаційного характеру, крім випадків, коли такі висловлювання, зображення, відео- чи аудіоматеріали використовуються для ілюстрування чи пояснення явищ дискримінації, а також з метою перевірки добтримання авторами (авторськими колективами) та розробниками навчальної література та засобів навчання вимог академічної доброчесності проводить експертизу навчальної літератури та засобів навчання (далі - експертизу) у встановленому порядку та за її результатами приймає рішення щодо можливості використання їх в освітньому процесі. 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Навчальна література та засоби навчання, що виготовляються за кошти державного бюджету, відбираються за конкурсом у порядку, визначеному Центральним органом виконавчої влади у сфері освіти, та мають отримати позитивний висновок експертизи.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Навчальна література та засоби навчання, що виготовляються за кошти місцевих бюджетів, юридичних та фізичних осіб, можуть проходити експертизу за ініціативи авторів (авторських колективів), розробників, видавців або на підставі звернення громадян у порядку, визначеному Центральним органом виконавчої влади у сфері освіти. 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Навчальна література та засоби навчання, у яких за результатами експертизи виявлено невідповідність вимогам законодавства, забороняються до використання у освітньому процесі.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Висновки експертизи навчальних матеріалів та засобів навчання та рішення щодо їх використання у освітньому процесі оприлюднюються на сайті центрального органу виконавчої влади у сфері освіти.».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3) Абзац сьомий частини другої статті 54 викласти у такій редакції:</w:t>
      </w:r>
    </w:p>
    <w:p>
      <w:pPr>
        <w:pStyle w:val="Normal"/>
        <w:shd w:val="clear" w:color="auto" w:fill="FFFFFF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«затверджує порядок надання грифів навчальній літературі, засобам навчання та навчальним програмам та порядок проведення  їх експертизи і відповідно до зазначеного порядку надає рекомендації для використання їх в освітньому процесі;».</w:t>
      </w:r>
    </w:p>
    <w:p>
      <w:pPr>
        <w:pStyle w:val="Normal"/>
        <w:pBdr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ІІ. Прикінцеві та перехідні положення</w:t>
      </w:r>
    </w:p>
    <w:p>
      <w:pPr>
        <w:pStyle w:val="Normal"/>
        <w:numPr>
          <w:ilvl w:val="0"/>
          <w:numId w:val="1"/>
        </w:numPr>
        <w:pBdr/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Цей Закон набирає чинності  з дня наступного за днем опублікування.</w:t>
      </w:r>
    </w:p>
    <w:p>
      <w:pPr>
        <w:pStyle w:val="Normal"/>
        <w:numPr>
          <w:ilvl w:val="0"/>
          <w:numId w:val="1"/>
        </w:numPr>
        <w:pBdr/>
        <w:spacing w:lineRule="auto" w:line="360" w:before="0" w:after="0"/>
        <w:ind w:left="0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Доручити Кабінету Міністрів України упродовж шести місяців привести свої нормативно-правові акти у відповідність до цього Закону.</w:t>
      </w:r>
    </w:p>
    <w:p>
      <w:pPr>
        <w:pStyle w:val="Normal"/>
        <w:spacing w:before="120" w:after="120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</w:rPr>
      </w:r>
    </w:p>
    <w:p>
      <w:pPr>
        <w:pStyle w:val="Normal"/>
        <w:spacing w:before="120" w:after="120"/>
        <w:ind w:firstLine="720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</w:rPr>
      </w:r>
    </w:p>
    <w:p>
      <w:pPr>
        <w:pStyle w:val="Normal"/>
        <w:spacing w:before="120" w:after="120"/>
        <w:ind w:firstLine="720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</w:rPr>
      </w:pPr>
      <w:bookmarkStart w:id="2" w:name="_heading=h.30j0zll"/>
      <w:bookmarkEnd w:id="2"/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</w:rPr>
        <w:t xml:space="preserve">Голова Верховної Ради </w:t>
      </w:r>
    </w:p>
    <w:p>
      <w:pPr>
        <w:pStyle w:val="Normal"/>
        <w:spacing w:before="120" w:after="120"/>
        <w:ind w:firstLine="720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</w:rPr>
        <w:t>України</w:t>
      </w:r>
    </w:p>
    <w:p>
      <w:pPr>
        <w:pStyle w:val="Normal"/>
        <w:spacing w:before="120" w:after="120"/>
        <w:ind w:firstLine="720"/>
        <w:rPr/>
      </w:pPr>
      <w:r>
        <w:rPr/>
      </w:r>
    </w:p>
    <w:sectPr>
      <w:footerReference w:type="default" r:id="rId2"/>
      <w:type w:val="nextPage"/>
      <w:pgSz w:w="12240" w:h="15840"/>
      <w:pgMar w:left="1418" w:right="851" w:header="0" w:top="851" w:footer="708" w:bottom="851" w:gutter="0"/>
      <w:pgNumType w:start="1"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Georgia">
    <w:charset w:val="01"/>
    <w:family w:val="roman"/>
    <w:pitch w:val="variable"/>
  </w:font>
  <w:font w:name="Antiqu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60"/>
      <w:jc w:val="righ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sz w:val="28"/>
        <w:u w:val="none"/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1440" w:hanging="360"/>
      </w:pPr>
      <w:rPr>
        <w:sz w:val="28"/>
        <w:u w:val="none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semiHidden/>
    <w:unhideWhenUsed/>
    <w:rsid w:val="0042348e"/>
    <w:rPr>
      <w:color w:val="0000FF"/>
      <w:u w:val="single"/>
    </w:rPr>
  </w:style>
  <w:style w:type="character" w:styleId="Style8" w:customStyle="1">
    <w:name w:val="Верхній колонтитул Знак"/>
    <w:basedOn w:val="DefaultParagraphFont"/>
    <w:link w:val="a8"/>
    <w:uiPriority w:val="99"/>
    <w:qFormat/>
    <w:rsid w:val="009a17b0"/>
    <w:rPr/>
  </w:style>
  <w:style w:type="character" w:styleId="Style9" w:customStyle="1">
    <w:name w:val="Нижній колонтитул Знак"/>
    <w:basedOn w:val="DefaultParagraphFont"/>
    <w:link w:val="aa"/>
    <w:uiPriority w:val="99"/>
    <w:qFormat/>
    <w:rsid w:val="009a17b0"/>
    <w:rPr/>
  </w:style>
  <w:style w:type="character" w:styleId="HTML" w:customStyle="1">
    <w:name w:val="Стандартний HTML Знак"/>
    <w:basedOn w:val="DefaultParagraphFont"/>
    <w:link w:val="HTML"/>
    <w:uiPriority w:val="99"/>
    <w:qFormat/>
    <w:rsid w:val="009a17b0"/>
    <w:rPr>
      <w:rFonts w:ascii="Courier New" w:hAnsi="Courier New" w:eastAsia="Times New Roman" w:cs="Courier New"/>
      <w:color w:val="000000"/>
      <w:sz w:val="21"/>
      <w:szCs w:val="21"/>
      <w:lang w:val="ru-RU" w:eastAsia="ru-RU"/>
    </w:rPr>
  </w:style>
  <w:style w:type="character" w:styleId="ListLabel1">
    <w:name w:val="ListLabel 1"/>
    <w:qFormat/>
    <w:rPr>
      <w:rFonts w:ascii="Times New Roman" w:hAnsi="Times New Roman"/>
      <w:sz w:val="28"/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Times New Roman" w:hAnsi="Times New Roman"/>
      <w:sz w:val="28"/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Style10">
    <w:name w:val="Текст у виносці Знак"/>
    <w:basedOn w:val="DefaultParagraphFont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bf06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f0616"/>
    <w:pPr>
      <w:spacing w:before="0" w:after="160"/>
      <w:ind w:left="720" w:hanging="0"/>
      <w:contextualSpacing/>
    </w:pPr>
    <w:rPr/>
  </w:style>
  <w:style w:type="paragraph" w:styleId="Rvps2" w:customStyle="1">
    <w:name w:val="rvps2"/>
    <w:basedOn w:val="Normal"/>
    <w:qFormat/>
    <w:rsid w:val="003e2dc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ubtitle">
    <w:name w:val="Subtitle"/>
    <w:basedOn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a9"/>
    <w:uiPriority w:val="99"/>
    <w:unhideWhenUsed/>
    <w:rsid w:val="009a17b0"/>
    <w:pPr>
      <w:tabs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b"/>
    <w:uiPriority w:val="99"/>
    <w:unhideWhenUsed/>
    <w:rsid w:val="009a17b0"/>
    <w:pPr>
      <w:tabs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Style11" w:customStyle="1">
    <w:name w:val="Установа"/>
    <w:basedOn w:val="Normal"/>
    <w:uiPriority w:val="99"/>
    <w:qFormat/>
    <w:rsid w:val="009a17b0"/>
    <w:pPr>
      <w:keepNext w:val="true"/>
      <w:keepLines/>
      <w:spacing w:lineRule="auto" w:line="240" w:before="120" w:after="0"/>
      <w:jc w:val="center"/>
    </w:pPr>
    <w:rPr>
      <w:rFonts w:ascii="Antiqua" w:hAnsi="Antiqua" w:eastAsia="Times New Roman" w:cs="Antiqua"/>
      <w:b/>
      <w:bCs/>
      <w:i/>
      <w:iCs/>
      <w:caps/>
      <w:sz w:val="48"/>
      <w:szCs w:val="48"/>
      <w:lang w:eastAsia="ru-RU"/>
    </w:rPr>
  </w:style>
  <w:style w:type="paragraph" w:styleId="HTMLPreformatted">
    <w:name w:val="HTML Preformatted"/>
    <w:basedOn w:val="Normal"/>
    <w:link w:val="HTML0"/>
    <w:uiPriority w:val="99"/>
    <w:qFormat/>
    <w:rsid w:val="009a17b0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color w:val="000000"/>
      <w:sz w:val="21"/>
      <w:szCs w:val="21"/>
      <w:lang w:val="ru-RU" w:eastAsia="ru-RU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3e2dcc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DNF/VWAPiKBhFJrlwpmcopwqeZg==">AMUW2mU/XkXgPht1+90weXqB8uAn6FhA8K4uWUbR2v/DYnVGBQmb+6425qJT8uxwhJOX6YLd+kwydNUnGvqaETl+fCd3b7Yaig3vpEsvaMJj/eQ0ozWateIUgob5WwDJxnpqmzbLGU7j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LibreOffice/6.0.7.3$Linux_X86_64 LibreOffice_project/00m0$Build-3</Application>
  <Pages>5</Pages>
  <Words>861</Words>
  <Characters>6016</Characters>
  <CharactersWithSpaces>6824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2019-09-24T06:45:00Z</dcterms:created>
  <dc:creator>Viktoriia Volynchuk</dc:creator>
  <dc:description/>
  <dc:language>en-US</dc:language>
  <cp:lastModifiedBy/>
  <dcterms:modified xsi:type="dcterms:W3CDTF">2020-06-17T17:42:44Z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