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ind w:left="5954" w:hanging="0"/>
        <w:jc w:val="both"/>
        <w:rPr>
          <w:rFonts w:ascii="Times New Roman" w:hAnsi="Times New Roman" w:eastAsia="Times New Roman" w:cs="Times New Roman"/>
          <w:b/>
          <w:b/>
          <w:color w:val="000000"/>
          <w:sz w:val="28"/>
          <w:szCs w:val="28"/>
        </w:rPr>
      </w:pPr>
      <w:r>
        <w:rPr>
          <w:rFonts w:eastAsia="Times New Roman" w:cs="Times New Roman" w:ascii="Times New Roman" w:hAnsi="Times New Roman"/>
          <w:b/>
          <w:color w:val="000000"/>
          <w:sz w:val="28"/>
          <w:szCs w:val="28"/>
        </w:rPr>
        <w:t>Про</w:t>
      </w:r>
      <w:r>
        <w:rPr>
          <w:rFonts w:eastAsia="Times New Roman" w:cs="Times New Roman" w:ascii="Times New Roman" w:hAnsi="Times New Roman"/>
          <w:b/>
          <w:sz w:val="28"/>
          <w:szCs w:val="28"/>
        </w:rPr>
        <w:t>є</w:t>
      </w:r>
      <w:r>
        <w:rPr>
          <w:rFonts w:eastAsia="Times New Roman" w:cs="Times New Roman" w:ascii="Times New Roman" w:hAnsi="Times New Roman"/>
          <w:b/>
          <w:color w:val="000000"/>
          <w:sz w:val="28"/>
          <w:szCs w:val="28"/>
        </w:rPr>
        <w:t xml:space="preserve">кт </w:t>
      </w:r>
    </w:p>
    <w:p>
      <w:pPr>
        <w:pStyle w:val="Normal"/>
        <w:tabs>
          <w:tab w:val="left" w:pos="916" w:leader="none"/>
          <w:tab w:val="left" w:pos="1832" w:leader="none"/>
          <w:tab w:val="left" w:pos="2748" w:leader="none"/>
          <w:tab w:val="left" w:pos="3664" w:leader="none"/>
          <w:tab w:val="left" w:pos="4580" w:leader="none"/>
          <w:tab w:val="left" w:pos="5496" w:leader="none"/>
          <w:tab w:val="left" w:pos="6412"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ind w:left="5954" w:hanging="0"/>
        <w:jc w:val="both"/>
        <w:rPr>
          <w:rFonts w:ascii="Times New Roman" w:hAnsi="Times New Roman" w:eastAsia="Times New Roman" w:cs="Times New Roman"/>
          <w:b/>
          <w:b/>
          <w:color w:val="000000"/>
          <w:sz w:val="28"/>
          <w:szCs w:val="28"/>
        </w:rPr>
      </w:pPr>
      <w:r>
        <w:rPr>
          <w:rFonts w:eastAsia="Times New Roman" w:cs="Times New Roman" w:ascii="Times New Roman" w:hAnsi="Times New Roman"/>
          <w:sz w:val="28"/>
          <w:szCs w:val="28"/>
        </w:rPr>
        <w:t>Вноситься</w:t>
      </w:r>
    </w:p>
    <w:p>
      <w:pPr>
        <w:pStyle w:val="Normal"/>
        <w:spacing w:lineRule="auto" w:line="240"/>
        <w:ind w:left="5954"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Народними депутатами України</w:t>
      </w:r>
    </w:p>
    <w:p>
      <w:pPr>
        <w:pStyle w:val="Normal"/>
        <w:spacing w:lineRule="auto" w:line="240"/>
        <w:ind w:left="5954" w:hanging="0"/>
        <w:rPr/>
      </w:pPr>
      <w:bookmarkStart w:id="0" w:name="_heading=h.gjdgxs"/>
      <w:bookmarkEnd w:id="0"/>
      <w:r>
        <w:rPr>
          <w:rFonts w:eastAsia="Times New Roman" w:cs="Times New Roman" w:ascii="Times New Roman" w:hAnsi="Times New Roman"/>
          <w:sz w:val="28"/>
          <w:szCs w:val="28"/>
        </w:rPr>
        <w:t>Совсун І.Р. (посв. 223)</w:t>
      </w:r>
    </w:p>
    <w:p>
      <w:pPr>
        <w:pStyle w:val="Normal"/>
        <w:spacing w:lineRule="auto" w:line="240"/>
        <w:ind w:left="5954" w:hanging="0"/>
        <w:rPr>
          <w:rFonts w:ascii="Times New Roman" w:hAnsi="Times New Roman" w:eastAsia="Times New Roman" w:cs="Times New Roman"/>
          <w:sz w:val="28"/>
          <w:szCs w:val="28"/>
        </w:rPr>
      </w:pPr>
      <w:r>
        <w:rPr>
          <w:rFonts w:eastAsia="Times New Roman" w:cs="Times New Roman" w:ascii="Times New Roman" w:hAnsi="Times New Roman"/>
          <w:sz w:val="28"/>
          <w:szCs w:val="28"/>
        </w:rPr>
        <w:t>Бабак С.В. (посв. 11)</w:t>
      </w:r>
    </w:p>
    <w:p>
      <w:pPr>
        <w:pStyle w:val="Normal"/>
        <w:widowControl/>
        <w:bidi w:val="0"/>
        <w:spacing w:lineRule="auto" w:line="240" w:before="0" w:after="0"/>
        <w:ind w:left="6029" w:right="0" w:hanging="0"/>
        <w:jc w:val="left"/>
        <w:rPr>
          <w:rFonts w:ascii="Times New Roman" w:hAnsi="Times New Roman" w:eastAsia="Times New Roman" w:cs="Times New Roman"/>
          <w:sz w:val="28"/>
          <w:szCs w:val="28"/>
        </w:rPr>
      </w:pPr>
      <w:r>
        <w:rPr>
          <w:rFonts w:eastAsia="Times New Roman" w:cs="Times New Roman" w:ascii="Times New Roman" w:hAnsi="Times New Roman"/>
          <w:sz w:val="28"/>
          <w:szCs w:val="28"/>
        </w:rPr>
        <w:t>Бардіна М.О. (посв. 61)</w:t>
      </w:r>
    </w:p>
    <w:p>
      <w:pPr>
        <w:pStyle w:val="Normal"/>
        <w:widowControl/>
        <w:bidi w:val="0"/>
        <w:spacing w:lineRule="auto" w:line="240" w:before="0" w:after="0"/>
        <w:ind w:left="6029" w:right="0" w:hanging="0"/>
        <w:jc w:val="left"/>
        <w:rPr>
          <w:rFonts w:ascii="Times New Roman" w:hAnsi="Times New Roman" w:eastAsia="Times New Roman" w:cs="Times New Roman"/>
          <w:sz w:val="28"/>
          <w:szCs w:val="28"/>
        </w:rPr>
      </w:pPr>
      <w:r>
        <w:rPr>
          <w:rFonts w:eastAsia="Times New Roman" w:cs="Times New Roman" w:ascii="Times New Roman" w:hAnsi="Times New Roman"/>
          <w:sz w:val="28"/>
          <w:szCs w:val="28"/>
        </w:rPr>
        <w:t>Геращенко І.А. (посв. 188)</w:t>
      </w:r>
    </w:p>
    <w:p>
      <w:pPr>
        <w:pStyle w:val="Normal"/>
        <w:widowControl/>
        <w:bidi w:val="0"/>
        <w:spacing w:lineRule="auto" w:line="240" w:before="0" w:after="0"/>
        <w:ind w:left="6029" w:right="0" w:hanging="0"/>
        <w:jc w:val="left"/>
        <w:rPr>
          <w:rFonts w:ascii="Times New Roman" w:hAnsi="Times New Roman" w:eastAsia="Times New Roman" w:cs="Times New Roman"/>
          <w:sz w:val="28"/>
          <w:szCs w:val="28"/>
        </w:rPr>
      </w:pPr>
      <w:r>
        <w:rPr>
          <w:rFonts w:eastAsia="Times New Roman" w:cs="Times New Roman" w:ascii="Times New Roman" w:hAnsi="Times New Roman"/>
          <w:sz w:val="28"/>
          <w:szCs w:val="28"/>
        </w:rPr>
        <w:t>Грищук Р.Л. (посв. 222)</w:t>
      </w:r>
    </w:p>
    <w:p>
      <w:pPr>
        <w:pStyle w:val="Normal"/>
        <w:widowControl/>
        <w:bidi w:val="0"/>
        <w:spacing w:lineRule="auto" w:line="240" w:before="0" w:after="0"/>
        <w:ind w:left="6029" w:right="0" w:hanging="0"/>
        <w:jc w:val="left"/>
        <w:rPr>
          <w:rFonts w:ascii="Times New Roman" w:hAnsi="Times New Roman" w:eastAsia="Times New Roman" w:cs="Times New Roman"/>
          <w:sz w:val="28"/>
          <w:szCs w:val="28"/>
        </w:rPr>
      </w:pPr>
      <w:r>
        <w:rPr>
          <w:rFonts w:eastAsia="Times New Roman" w:cs="Times New Roman" w:ascii="Times New Roman" w:hAnsi="Times New Roman"/>
          <w:sz w:val="28"/>
          <w:szCs w:val="28"/>
        </w:rPr>
        <w:t>Жмеренецький О.С. (посв. 391)</w:t>
      </w:r>
    </w:p>
    <w:p>
      <w:pPr>
        <w:pStyle w:val="Normal"/>
        <w:widowControl/>
        <w:bidi w:val="0"/>
        <w:spacing w:lineRule="auto" w:line="240" w:before="0" w:after="0"/>
        <w:ind w:left="6029" w:right="0" w:hanging="0"/>
        <w:jc w:val="left"/>
        <w:rPr>
          <w:rFonts w:ascii="Times New Roman" w:hAnsi="Times New Roman" w:eastAsia="Times New Roman" w:cs="Times New Roman"/>
          <w:sz w:val="28"/>
          <w:szCs w:val="28"/>
        </w:rPr>
      </w:pPr>
      <w:r>
        <w:rPr>
          <w:rFonts w:eastAsia="Times New Roman" w:cs="Times New Roman" w:ascii="Times New Roman" w:hAnsi="Times New Roman"/>
          <w:sz w:val="28"/>
          <w:szCs w:val="28"/>
        </w:rPr>
        <w:t>Іонова М.М. (посв. 208)</w:t>
      </w:r>
    </w:p>
    <w:p>
      <w:pPr>
        <w:pStyle w:val="Normal"/>
        <w:widowControl/>
        <w:bidi w:val="0"/>
        <w:spacing w:lineRule="auto" w:line="240" w:before="0" w:after="0"/>
        <w:ind w:left="6029" w:right="0" w:hanging="0"/>
        <w:jc w:val="left"/>
        <w:rPr>
          <w:rFonts w:ascii="Times New Roman" w:hAnsi="Times New Roman" w:eastAsia="Times New Roman" w:cs="Times New Roman"/>
          <w:sz w:val="28"/>
          <w:szCs w:val="28"/>
        </w:rPr>
      </w:pPr>
      <w:r>
        <w:rPr>
          <w:rFonts w:eastAsia="Times New Roman" w:cs="Times New Roman" w:ascii="Times New Roman" w:hAnsi="Times New Roman"/>
          <w:sz w:val="28"/>
          <w:szCs w:val="28"/>
        </w:rPr>
        <w:t>Колебошин С.В. (посв. 341)</w:t>
      </w:r>
    </w:p>
    <w:p>
      <w:pPr>
        <w:pStyle w:val="Normal"/>
        <w:widowControl/>
        <w:bidi w:val="0"/>
        <w:spacing w:lineRule="auto" w:line="240" w:before="0" w:after="0"/>
        <w:ind w:left="6029" w:right="0" w:hanging="0"/>
        <w:jc w:val="left"/>
        <w:rPr>
          <w:rFonts w:ascii="Times New Roman" w:hAnsi="Times New Roman" w:eastAsia="Times New Roman" w:cs="Times New Roman"/>
          <w:sz w:val="28"/>
          <w:szCs w:val="28"/>
        </w:rPr>
      </w:pPr>
      <w:r>
        <w:rPr>
          <w:rFonts w:eastAsia="Times New Roman" w:cs="Times New Roman" w:ascii="Times New Roman" w:hAnsi="Times New Roman"/>
          <w:sz w:val="28"/>
          <w:szCs w:val="28"/>
        </w:rPr>
        <w:t>Павленко Р.М. (посв. 203)</w:t>
      </w:r>
    </w:p>
    <w:p>
      <w:pPr>
        <w:pStyle w:val="Normal"/>
        <w:widowControl/>
        <w:bidi w:val="0"/>
        <w:spacing w:lineRule="auto" w:line="240" w:before="0" w:after="0"/>
        <w:ind w:left="6029" w:right="0" w:hanging="0"/>
        <w:jc w:val="left"/>
        <w:rPr>
          <w:rFonts w:ascii="Times New Roman" w:hAnsi="Times New Roman" w:eastAsia="Times New Roman" w:cs="Times New Roman"/>
          <w:sz w:val="28"/>
          <w:szCs w:val="28"/>
        </w:rPr>
      </w:pPr>
      <w:r>
        <w:rPr>
          <w:rFonts w:eastAsia="Times New Roman" w:cs="Times New Roman" w:ascii="Times New Roman" w:hAnsi="Times New Roman"/>
          <w:sz w:val="28"/>
          <w:szCs w:val="28"/>
        </w:rPr>
        <w:t>Умеров Р. Е. (посв. 225)</w:t>
      </w:r>
    </w:p>
    <w:p>
      <w:pPr>
        <w:pStyle w:val="Normal"/>
        <w:widowControl/>
        <w:bidi w:val="0"/>
        <w:spacing w:lineRule="auto" w:line="240" w:before="0" w:after="0"/>
        <w:ind w:left="6029" w:right="0" w:hanging="0"/>
        <w:jc w:val="left"/>
        <w:rPr>
          <w:rFonts w:ascii="Times New Roman" w:hAnsi="Times New Roman" w:eastAsia="Times New Roman" w:cs="Times New Roman"/>
          <w:sz w:val="28"/>
          <w:szCs w:val="28"/>
        </w:rPr>
      </w:pPr>
      <w:r>
        <w:rPr>
          <w:rFonts w:eastAsia="Times New Roman" w:cs="Times New Roman" w:ascii="Times New Roman" w:hAnsi="Times New Roman"/>
          <w:sz w:val="28"/>
          <w:szCs w:val="28"/>
        </w:rPr>
        <w:t>Чийгоз А.З. (посв. 193)</w:t>
      </w:r>
    </w:p>
    <w:p>
      <w:pPr>
        <w:pStyle w:val="Normal"/>
        <w:widowControl/>
        <w:bidi w:val="0"/>
        <w:spacing w:lineRule="auto" w:line="240" w:before="0" w:after="0"/>
        <w:ind w:left="6029" w:right="0" w:hanging="0"/>
        <w:jc w:val="left"/>
        <w:rPr>
          <w:rFonts w:ascii="Times New Roman" w:hAnsi="Times New Roman" w:eastAsia="Times New Roman" w:cs="Times New Roman"/>
          <w:sz w:val="28"/>
          <w:szCs w:val="28"/>
        </w:rPr>
      </w:pPr>
      <w:r>
        <w:rPr>
          <w:rFonts w:eastAsia="Times New Roman" w:cs="Times New Roman" w:ascii="Times New Roman" w:hAnsi="Times New Roman"/>
          <w:sz w:val="28"/>
          <w:szCs w:val="28"/>
        </w:rPr>
        <w:t>Юрчишин Я.Ф. (посв. 215)</w:t>
      </w:r>
    </w:p>
    <w:p>
      <w:pPr>
        <w:pStyle w:val="Normal"/>
        <w:spacing w:lineRule="auto" w:line="360"/>
        <w:ind w:left="5954" w:hanging="0"/>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spacing w:lineRule="auto" w:line="360"/>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r>
    </w:p>
    <w:p>
      <w:pPr>
        <w:pStyle w:val="Normal"/>
        <w:spacing w:lineRule="auto" w:line="360"/>
        <w:jc w:val="center"/>
        <w:rPr>
          <w:rFonts w:ascii="Times New Roman" w:hAnsi="Times New Roman" w:eastAsia="Times New Roman" w:cs="Times New Roman"/>
          <w:b/>
          <w:b/>
          <w:sz w:val="32"/>
          <w:szCs w:val="32"/>
        </w:rPr>
      </w:pPr>
      <w:r>
        <w:rPr>
          <w:rFonts w:eastAsia="Times New Roman" w:cs="Times New Roman" w:ascii="Times New Roman" w:hAnsi="Times New Roman"/>
          <w:b/>
          <w:sz w:val="32"/>
          <w:szCs w:val="32"/>
        </w:rPr>
        <w:t>ПОЯСНЮВАЛЬНА ЗАПИСКА</w:t>
      </w:r>
    </w:p>
    <w:p>
      <w:pPr>
        <w:pStyle w:val="Normal"/>
        <w:spacing w:lineRule="auto" w:line="360"/>
        <w:jc w:val="center"/>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до проекту Закону України «Про внесення змін до деяких законів України щодо забезпечення якості навчальної літератури та засобів навчання»</w:t>
      </w:r>
    </w:p>
    <w:p>
      <w:pPr>
        <w:pStyle w:val="Normal"/>
        <w:spacing w:lineRule="auto" w:line="36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numPr>
          <w:ilvl w:val="0"/>
          <w:numId w:val="3"/>
        </w:numPr>
        <w:spacing w:lineRule="auto" w:line="360"/>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Обґрунтування необхідності прийняття акта</w:t>
      </w:r>
    </w:p>
    <w:p>
      <w:pPr>
        <w:pStyle w:val="Normal"/>
        <w:spacing w:lineRule="auto" w:line="360"/>
        <w:ind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Якість навчальної літератури, насамперед шкільних підручників, є однією з проблем середньої освіти, що викликає ледь не найбільше суспільне збурення. Батьки, учні та педагогічні працівники скаржаться на велику кількість помилок та невідповідність зміст підручників досягненням сучасної науки. Ще однією проблемою наявність у підручниках, іншій навчальній літературі та засобах навчання дискримінаційних висловів та зображень. Антидискримінаційна експертиза, яку з 2017 року проходять макети підручників, які претендують на рук за кошти державного бюджету, виявила численні випадки дискримінації на підставі статі, раси, етнічного походження, стану здоров’я, складу сім’ї тощо. Міністерство освіти і науки у пошуках оптимальної моделі забезпечення якості навчальної літератури щороку вносить зміни у процедуру конкурсного відбору підручників, що будуть друкуватися за бюджетні кошти. Серед інших змін обов’язковою стала антидискримінаційна експертиза, а преметна експертиза суттєво змінилася. Однак чинна процедура, а також якість підготовки експертів та відповідальність за їхні рішення досі викликають нарікання з боку видавців.</w:t>
      </w:r>
    </w:p>
    <w:p>
      <w:pPr>
        <w:pStyle w:val="Normal"/>
        <w:spacing w:lineRule="auto" w:line="360"/>
        <w:ind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З огляду на наявність багатьох заінтересованих сторін та активну суспільну дискусію, доцільно зафіксувати у законодавстві основі вимоги до якості навчальної літератури та засобів навчання, від яких заінтересовані сторони могли б відштовхуватися у подальшій роботі над удосконаленням як власне підручників, так і процедури їх конкурсного відбору.</w:t>
      </w:r>
    </w:p>
    <w:p>
      <w:pPr>
        <w:pStyle w:val="Normal"/>
        <w:spacing w:lineRule="auto" w:line="360"/>
        <w:ind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Ще однією проблемою є забезпечення якості навчальної літератури та засобів навчання, що виготовляються за кошти фізичних та юридичних осіб та мають гриф “схвалено до використання у закладах повної загальної середньої освіти”. Процедура отримання цього грифу була недосконалою. Тільки за останні три роки виникла два гучних публічних обговорення навчальної літератури до предметів варіативної складової, які містили твердження, що суперечили науковим фактам та містили ознаки дискримінації. Однак нормативних підстав для відкликання грифу було недостатньо, врешті рішення залежало від особистої думки членів Науково-методичної ради з питань освіти Міністерства освіти.</w:t>
      </w:r>
    </w:p>
    <w:p>
      <w:pPr>
        <w:pStyle w:val="Normal"/>
        <w:spacing w:lineRule="auto" w:line="360"/>
        <w:ind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У зв’язку з існуючими проблемами із процедурою надання грифів  підручникам та постійними скаргами на їхню якість нещодавно Міністерство освіти і науки затвердило нову. Однак вона не дає достатніх гарантій якості такої навчальної літератури, особливо що стосується відсутності дискримінаційних висловлювань та зображень. Важливим недоліком процедури також є відсутність зворотного зв’язку між споживачами (учнями, батьками, вчителями, громадськістю) та посадовцями, які ухвалюють рішення про дозвіл на використання літератури. Оскільки обсяги навчальної літератури, що виготовляється за кошти фізичних та юридичних осіб, є завеликими для того, аби всі видання проходили експертизу, аналогічну тій, що її проходять підручники, які видаються за державний кошт, наявність зворотного зв’язку є оптимальним з точки зору витрат та результатів механізмом контролю якості навчальної літератури.</w:t>
      </w:r>
    </w:p>
    <w:p>
      <w:pPr>
        <w:pStyle w:val="Normal"/>
        <w:spacing w:lineRule="auto" w:line="360"/>
        <w:ind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У підсумки можна сказати, що закріплення на рівні закону базових вимог до якості навчальної літератури та засобів навчання має стати основою, від якої буде відштовхуватися як центральний орган виконавчої влади, що здійснює розробку політики у сфері освіти, так і видавці.</w:t>
      </w:r>
    </w:p>
    <w:p>
      <w:pPr>
        <w:pStyle w:val="Normal"/>
        <w:spacing w:lineRule="auto" w:line="360"/>
        <w:ind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pacing w:lineRule="auto" w:line="360"/>
        <w:ind w:firstLine="720"/>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2. Мета і завдання законопроекту</w:t>
      </w:r>
    </w:p>
    <w:p>
      <w:pPr>
        <w:pStyle w:val="Normal"/>
        <w:spacing w:lineRule="auto" w:line="360"/>
        <w:ind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Даний законопроект розроблений з метою встановлення чітких вимог до якості навчальної літератури та засобів навчання, насамперед тих, які використовуються у закладах повної загальної середньої освіти, та механізму перевірки дотримання цих вимог.</w:t>
      </w:r>
    </w:p>
    <w:p>
      <w:pPr>
        <w:pStyle w:val="Normal"/>
        <w:spacing w:lineRule="auto" w:line="360"/>
        <w:ind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Мету законопроекту буде реалізовано за рахунок виконання наступних завдань:</w:t>
      </w:r>
    </w:p>
    <w:p>
      <w:pPr>
        <w:pStyle w:val="Normal"/>
        <w:numPr>
          <w:ilvl w:val="0"/>
          <w:numId w:val="2"/>
        </w:numPr>
        <w:spacing w:lineRule="auto" w:line="360"/>
        <w:ind w:left="0"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визначення критеріїв, яким має відповідати навчальної літератури та засоби навчання;</w:t>
      </w:r>
    </w:p>
    <w:p>
      <w:pPr>
        <w:pStyle w:val="Normal"/>
        <w:numPr>
          <w:ilvl w:val="0"/>
          <w:numId w:val="2"/>
        </w:numPr>
        <w:spacing w:lineRule="auto" w:line="360"/>
        <w:ind w:left="0"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удосконалення розподілу повноважень щодо наукового та методичного забезпечення освіти;</w:t>
      </w:r>
    </w:p>
    <w:p>
      <w:pPr>
        <w:pStyle w:val="Normal"/>
        <w:numPr>
          <w:ilvl w:val="0"/>
          <w:numId w:val="2"/>
        </w:numPr>
        <w:spacing w:lineRule="auto" w:line="360"/>
        <w:ind w:left="0"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визначення підходів до експертизи навчальної літератури та засобів навчання.</w:t>
      </w:r>
    </w:p>
    <w:p>
      <w:pPr>
        <w:pStyle w:val="Normal"/>
        <w:spacing w:lineRule="auto" w:line="360"/>
        <w:ind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ab/>
        <w:t xml:space="preserve"> </w:t>
        <w:tab/>
      </w:r>
    </w:p>
    <w:p>
      <w:pPr>
        <w:pStyle w:val="Normal"/>
        <w:spacing w:lineRule="auto" w:line="360"/>
        <w:ind w:firstLine="720"/>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3. Загальна характеристика та основні положення законопроекту</w:t>
      </w:r>
    </w:p>
    <w:p>
      <w:pPr>
        <w:pStyle w:val="Normal"/>
        <w:spacing w:lineRule="auto" w:line="360"/>
        <w:ind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Законопроєкт пропонує наступне:</w:t>
      </w:r>
    </w:p>
    <w:p>
      <w:pPr>
        <w:pStyle w:val="Normal"/>
        <w:numPr>
          <w:ilvl w:val="0"/>
          <w:numId w:val="1"/>
        </w:numPr>
        <w:spacing w:lineRule="auto" w:line="360"/>
        <w:ind w:left="0"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встановлює вимоги щодо дотримання норм академічної доброчесності при створенні навчальної літератури та засобів навчання;</w:t>
      </w:r>
    </w:p>
    <w:p>
      <w:pPr>
        <w:pStyle w:val="Normal"/>
        <w:numPr>
          <w:ilvl w:val="0"/>
          <w:numId w:val="1"/>
        </w:numPr>
        <w:spacing w:lineRule="auto" w:line="360"/>
        <w:ind w:left="0"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встановлює перелік повноважень Центрального органу виконавчої влади у сфері освіти щодо наукового та методичного забезпечення освіти, зокрема щодо забезпечення якості навчальної літератури та засобів навчання;</w:t>
      </w:r>
    </w:p>
    <w:p>
      <w:pPr>
        <w:pStyle w:val="Normal"/>
        <w:numPr>
          <w:ilvl w:val="0"/>
          <w:numId w:val="1"/>
        </w:numPr>
        <w:spacing w:lineRule="auto" w:line="360"/>
        <w:ind w:left="0"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уточнює права інших установ та організацій щодо наукового та методичного забезпечення освіти;</w:t>
      </w:r>
    </w:p>
    <w:p>
      <w:pPr>
        <w:pStyle w:val="Normal"/>
        <w:numPr>
          <w:ilvl w:val="0"/>
          <w:numId w:val="1"/>
        </w:numPr>
        <w:spacing w:lineRule="auto" w:line="360"/>
        <w:ind w:left="0"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встановлює вимоги щодо наукового характеру навчальної літератури та засобів навчання, які використовуються у освітньому процесі у закладах освіти, та заборону на висловлювання, зображення, відео– чи аудіоматеріали дискримінаційного характеру у навчальній літературі та засобах навчання;</w:t>
      </w:r>
    </w:p>
    <w:p>
      <w:pPr>
        <w:pStyle w:val="Normal"/>
        <w:numPr>
          <w:ilvl w:val="0"/>
          <w:numId w:val="1"/>
        </w:numPr>
        <w:spacing w:lineRule="auto" w:line="360"/>
        <w:ind w:left="0"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визначає обов’язковість експертизи навчальної літератури та засобів навчання, що виготовляються за кошти державного бюджету, на предмет відповідності вимогам законодавства, зокрема визначеним у цьому проєкті;</w:t>
      </w:r>
    </w:p>
    <w:p>
      <w:pPr>
        <w:pStyle w:val="Normal"/>
        <w:numPr>
          <w:ilvl w:val="0"/>
          <w:numId w:val="1"/>
        </w:numPr>
        <w:spacing w:lineRule="auto" w:line="360"/>
        <w:ind w:left="0"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встановлює право ініціювати експертизу навчальної літератури та засобів навчання, що виготовляються за кошти фізичних та юридичних осіб та використовується у закладах освіти, на предмет відповідності вимогам законодавства, зокрема визначеним у цьому проєкті, та визначає правові наслідки результатів цієї експертизи - навчальна література та засоби навчання, які за результатами експертизи визнано такими, що не відповідають вимогам законодавства, не допускаються до використання у закладах освіти.</w:t>
      </w:r>
    </w:p>
    <w:p>
      <w:pPr>
        <w:pStyle w:val="Normal"/>
        <w:spacing w:lineRule="auto" w:line="360"/>
        <w:ind w:firstLine="720"/>
        <w:jc w:val="both"/>
        <w:rPr>
          <w:rFonts w:ascii="Times New Roman" w:hAnsi="Times New Roman" w:eastAsia="Times New Roman" w:cs="Times New Roman"/>
          <w:sz w:val="28"/>
          <w:szCs w:val="28"/>
        </w:rPr>
      </w:pPr>
      <w:r>
        <w:rPr>
          <w:rFonts w:eastAsia="Times New Roman" w:cs="Times New Roman" w:ascii="Times New Roman" w:hAnsi="Times New Roman"/>
          <w:b/>
          <w:sz w:val="28"/>
          <w:szCs w:val="28"/>
        </w:rPr>
        <w:t>4. Стан нормативно-правової бази у зазначеній сфері правового регулювання</w:t>
      </w:r>
      <w:r>
        <w:rPr>
          <w:rFonts w:eastAsia="Times New Roman" w:cs="Times New Roman" w:ascii="Times New Roman" w:hAnsi="Times New Roman"/>
          <w:sz w:val="28"/>
          <w:szCs w:val="28"/>
        </w:rPr>
        <w:tab/>
        <w:t xml:space="preserve"> </w:t>
        <w:tab/>
        <w:t>Нормативно-правовими актами у даній сфері правового регулювання є закони України “Про освіту”, “Про повну загальну середню освіту” та “Про засади запобігання та протидії дискримінації в Україні”.</w:t>
      </w:r>
    </w:p>
    <w:p>
      <w:pPr>
        <w:pStyle w:val="Normal"/>
        <w:spacing w:lineRule="auto" w:line="360"/>
        <w:ind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pacing w:lineRule="auto" w:line="360"/>
        <w:ind w:firstLine="720"/>
        <w:jc w:val="both"/>
        <w:rPr>
          <w:rFonts w:ascii="Times New Roman" w:hAnsi="Times New Roman" w:eastAsia="Times New Roman" w:cs="Times New Roman"/>
          <w:b/>
          <w:b/>
          <w:sz w:val="28"/>
          <w:szCs w:val="28"/>
        </w:rPr>
      </w:pPr>
      <w:r>
        <w:rPr>
          <w:rFonts w:eastAsia="Times New Roman" w:cs="Times New Roman" w:ascii="Times New Roman" w:hAnsi="Times New Roman"/>
          <w:b/>
          <w:sz w:val="28"/>
          <w:szCs w:val="28"/>
        </w:rPr>
        <w:t>5. Фінансово-економічне обґрунтування</w:t>
      </w:r>
    </w:p>
    <w:p>
      <w:pPr>
        <w:pStyle w:val="Normal"/>
        <w:spacing w:lineRule="auto" w:line="360"/>
        <w:ind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Прийняття законопроекту не призведе до збільшення видатків з державного та місцевих бюджетів, оскільки експертиза навчальної літератури та засобів навчання вже передбачена у видатках Державного бюджету України.</w:t>
      </w:r>
    </w:p>
    <w:p>
      <w:pPr>
        <w:pStyle w:val="Normal"/>
        <w:spacing w:lineRule="auto" w:line="360"/>
        <w:ind w:firstLine="720"/>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r>
    </w:p>
    <w:p>
      <w:pPr>
        <w:pStyle w:val="Normal"/>
        <w:spacing w:lineRule="auto" w:line="360"/>
        <w:ind w:firstLine="720"/>
        <w:jc w:val="both"/>
        <w:rPr>
          <w:rFonts w:ascii="Times New Roman" w:hAnsi="Times New Roman" w:eastAsia="Times New Roman" w:cs="Times New Roman"/>
          <w:sz w:val="28"/>
          <w:szCs w:val="28"/>
        </w:rPr>
      </w:pPr>
      <w:r>
        <w:rPr>
          <w:rFonts w:eastAsia="Times New Roman" w:cs="Times New Roman" w:ascii="Times New Roman" w:hAnsi="Times New Roman"/>
          <w:b/>
          <w:sz w:val="28"/>
          <w:szCs w:val="28"/>
        </w:rPr>
        <w:t xml:space="preserve">6. Прогноз </w:t>
        <w:tab/>
        <w:t>результатів</w:t>
      </w:r>
    </w:p>
    <w:p>
      <w:pPr>
        <w:pStyle w:val="Normal"/>
        <w:spacing w:lineRule="auto" w:line="360"/>
        <w:ind w:firstLine="720"/>
        <w:jc w:val="both"/>
        <w:rPr/>
      </w:pPr>
      <w:r>
        <w:rPr>
          <w:rFonts w:eastAsia="Times New Roman" w:cs="Times New Roman" w:ascii="Times New Roman" w:hAnsi="Times New Roman"/>
          <w:sz w:val="28"/>
          <w:szCs w:val="28"/>
        </w:rPr>
        <w:t>Запровадження змін, передбачених проектом, дасть змогу покращити якість навчальної літератури та засобів навчання, насамперед шкільних підручників, а також виконання міжнародних зобов’язань України щодо протидії дискримінації та забезпечення прав людини, зокрема, виконання рекомендацій, отриманих в рамках Універсального періодичного огляду Ради ООН з прав людини.</w:t>
      </w:r>
    </w:p>
    <w:sectPr>
      <w:footerReference w:type="default" r:id="rId2"/>
      <w:type w:val="nextPage"/>
      <w:pgSz w:w="12240" w:h="15840"/>
      <w:pgMar w:left="1417" w:right="850" w:header="0" w:top="850" w:footer="720" w:bottom="850"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Segoe UI">
    <w:charset w:val="01"/>
    <w:family w:val="roman"/>
    <w:pitch w:val="variable"/>
  </w:font>
  <w:font w:name="Liberation Sans">
    <w:altName w:val="Arial"/>
    <w:charset w:val="01"/>
    <w:family w:val="swiss"/>
    <w:pitch w:val="variable"/>
  </w:font>
  <w:font w:name="Wingdings">
    <w:charset w:val="02"/>
    <w:family w:val="auto"/>
    <w:pitch w:val="default"/>
  </w:font>
  <w:font w:name="Wingdings 2">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rPr/>
    </w:pPr>
    <w:r>
      <w:rPr/>
      <w:fldChar w:fldCharType="begin"/>
    </w:r>
    <w:r>
      <w:rPr/>
      <w:instrText> PAGE </w:instrText>
    </w:r>
    <w:r>
      <w:rPr/>
      <w:fldChar w:fldCharType="separate"/>
    </w:r>
    <w:r>
      <w:rPr/>
      <w:t>5</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Wingdings" w:hAnsi="Wingdings" w:cs="Wingdings" w:hint="default"/>
        <w:sz w:val="28"/>
        <w:u w:val="none"/>
      </w:rPr>
    </w:lvl>
    <w:lvl w:ilvl="1">
      <w:start w:val="1"/>
      <w:numFmt w:val="bullet"/>
      <w:lvlText w:val=""/>
      <w:lvlJc w:val="left"/>
      <w:pPr>
        <w:ind w:left="1440" w:hanging="360"/>
      </w:pPr>
      <w:rPr>
        <w:rFonts w:ascii="Wingdings 2" w:hAnsi="Wingdings 2" w:cs="Wingdings 2"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Wingdings" w:hAnsi="Wingdings" w:cs="Wingdings" w:hint="default"/>
        <w:u w:val="none"/>
      </w:rPr>
    </w:lvl>
    <w:lvl w:ilvl="4">
      <w:start w:val="1"/>
      <w:numFmt w:val="bullet"/>
      <w:lvlText w:val=""/>
      <w:lvlJc w:val="left"/>
      <w:pPr>
        <w:ind w:left="3600" w:hanging="360"/>
      </w:pPr>
      <w:rPr>
        <w:rFonts w:ascii="Wingdings 2" w:hAnsi="Wingdings 2" w:cs="Wingdings 2"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Wingdings" w:hAnsi="Wingdings" w:cs="Wingdings" w:hint="default"/>
        <w:u w:val="none"/>
      </w:rPr>
    </w:lvl>
    <w:lvl w:ilvl="7">
      <w:start w:val="1"/>
      <w:numFmt w:val="bullet"/>
      <w:lvlText w:val=""/>
      <w:lvlJc w:val="left"/>
      <w:pPr>
        <w:ind w:left="5760" w:hanging="360"/>
      </w:pPr>
      <w:rPr>
        <w:rFonts w:ascii="Wingdings 2" w:hAnsi="Wingdings 2" w:cs="Wingdings 2"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
    <w:lvl w:ilvl="0">
      <w:start w:val="1"/>
      <w:numFmt w:val="bullet"/>
      <w:lvlText w:val="-"/>
      <w:lvlJc w:val="left"/>
      <w:pPr>
        <w:ind w:left="720" w:hanging="360"/>
      </w:pPr>
      <w:rPr>
        <w:rFonts w:ascii="OpenSymbol" w:hAnsi="OpenSymbol" w:cs="OpenSymbol" w:hint="default"/>
        <w:sz w:val="28"/>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3">
    <w:lvl w:ilvl="0">
      <w:start w:val="1"/>
      <w:numFmt w:val="decimal"/>
      <w:lvlText w:val="%1."/>
      <w:lvlJc w:val="left"/>
      <w:pPr>
        <w:ind w:left="720" w:hanging="360"/>
      </w:pPr>
      <w:rPr>
        <w:sz w:val="28"/>
        <w:u w:val="none"/>
        <w:b/>
        <w:rFonts w:ascii="Times New Roman" w:hAnsi="Times New Roman"/>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w:cs="Lohit Devanagari"/>
        <w:kern w:val="2"/>
        <w:sz w:val="24"/>
        <w:szCs w:val="24"/>
        <w:lang w:val="en-US" w:eastAsia="zh-CN" w:bidi="hi-IN"/>
      </w:rPr>
    </w:rPrDefault>
    <w:pPrDefault>
      <w:pPr>
        <w:widowControl/>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kinsoku w:val="true"/>
      <w:overflowPunct w:val="true"/>
      <w:autoSpaceDE w:val="true"/>
      <w:bidi w:val="0"/>
      <w:spacing w:lineRule="auto" w:line="276"/>
      <w:jc w:val="left"/>
    </w:pPr>
    <w:rPr>
      <w:rFonts w:ascii="Liberation Serif" w:hAnsi="Liberation Serif" w:eastAsia="Noto Sans CJK SC" w:cs="Lohit Devanagari"/>
      <w:color w:val="auto"/>
      <w:kern w:val="2"/>
      <w:sz w:val="24"/>
      <w:szCs w:val="24"/>
      <w:lang w:val="en-US" w:eastAsia="zh-CN" w:bidi="hi-IN"/>
    </w:rPr>
  </w:style>
  <w:style w:type="paragraph" w:styleId="Heading1">
    <w:name w:val="Heading 1"/>
    <w:basedOn w:val="Normal"/>
    <w:qFormat/>
    <w:pPr>
      <w:keepNext w:val="true"/>
      <w:keepLines/>
      <w:spacing w:before="400" w:after="120"/>
      <w:outlineLvl w:val="0"/>
    </w:pPr>
    <w:rPr>
      <w:sz w:val="40"/>
      <w:szCs w:val="40"/>
    </w:rPr>
  </w:style>
  <w:style w:type="paragraph" w:styleId="Heading2">
    <w:name w:val="Heading 2"/>
    <w:basedOn w:val="Normal"/>
    <w:qFormat/>
    <w:pPr>
      <w:keepNext w:val="true"/>
      <w:keepLines/>
      <w:spacing w:before="360" w:after="120"/>
      <w:outlineLvl w:val="1"/>
    </w:pPr>
    <w:rPr>
      <w:sz w:val="32"/>
      <w:szCs w:val="32"/>
    </w:rPr>
  </w:style>
  <w:style w:type="paragraph" w:styleId="Heading3">
    <w:name w:val="Heading 3"/>
    <w:basedOn w:val="Normal"/>
    <w:qFormat/>
    <w:pPr>
      <w:keepNext w:val="true"/>
      <w:keepLines/>
      <w:spacing w:before="320" w:after="80"/>
      <w:outlineLvl w:val="2"/>
    </w:pPr>
    <w:rPr>
      <w:color w:val="434343"/>
      <w:sz w:val="28"/>
      <w:szCs w:val="28"/>
    </w:rPr>
  </w:style>
  <w:style w:type="paragraph" w:styleId="Heading4">
    <w:name w:val="Heading 4"/>
    <w:basedOn w:val="Normal"/>
    <w:qFormat/>
    <w:pPr>
      <w:keepNext w:val="true"/>
      <w:keepLines/>
      <w:spacing w:before="280" w:after="80"/>
      <w:outlineLvl w:val="3"/>
    </w:pPr>
    <w:rPr>
      <w:color w:val="666666"/>
      <w:sz w:val="24"/>
      <w:szCs w:val="24"/>
    </w:rPr>
  </w:style>
  <w:style w:type="paragraph" w:styleId="Heading5">
    <w:name w:val="Heading 5"/>
    <w:basedOn w:val="Normal"/>
    <w:qFormat/>
    <w:pPr>
      <w:keepNext w:val="true"/>
      <w:keepLines/>
      <w:spacing w:before="240" w:after="80"/>
      <w:outlineLvl w:val="4"/>
    </w:pPr>
    <w:rPr>
      <w:color w:val="666666"/>
    </w:rPr>
  </w:style>
  <w:style w:type="paragraph" w:styleId="Heading6">
    <w:name w:val="Heading 6"/>
    <w:basedOn w:val="Normal"/>
    <w:qFormat/>
    <w:pPr>
      <w:keepNext w:val="true"/>
      <w:keepLines/>
      <w:spacing w:before="240" w:after="80"/>
      <w:outlineLvl w:val="5"/>
    </w:pPr>
    <w:rPr>
      <w:i/>
      <w:color w:val="666666"/>
    </w:rPr>
  </w:style>
  <w:style w:type="character" w:styleId="DefaultParagraphFont" w:default="1">
    <w:name w:val="Default Paragraph Font"/>
    <w:uiPriority w:val="1"/>
    <w:semiHidden/>
    <w:unhideWhenUsed/>
    <w:qFormat/>
    <w:rPr/>
  </w:style>
  <w:style w:type="character" w:styleId="ListLabel1">
    <w:name w:val="ListLabel 1"/>
    <w:qFormat/>
    <w:rPr>
      <w:rFonts w:ascii="Times New Roman" w:hAnsi="Times New Roman"/>
      <w:sz w:val="28"/>
      <w:u w:val="none"/>
    </w:rPr>
  </w:style>
  <w:style w:type="character" w:styleId="ListLabel2">
    <w:name w:val="ListLabel 2"/>
    <w:qFormat/>
    <w:rPr>
      <w:u w:val="none"/>
    </w:rPr>
  </w:style>
  <w:style w:type="character" w:styleId="ListLabel3">
    <w:name w:val="ListLabel 3"/>
    <w:qFormat/>
    <w:rPr>
      <w:u w:val="none"/>
    </w:rPr>
  </w:style>
  <w:style w:type="character" w:styleId="ListLabel4">
    <w:name w:val="ListLabel 4"/>
    <w:qFormat/>
    <w:rPr>
      <w:u w:val="none"/>
    </w:rPr>
  </w:style>
  <w:style w:type="character" w:styleId="ListLabel5">
    <w:name w:val="ListLabel 5"/>
    <w:qFormat/>
    <w:rPr>
      <w:u w:val="none"/>
    </w:rPr>
  </w:style>
  <w:style w:type="character" w:styleId="ListLabel6">
    <w:name w:val="ListLabel 6"/>
    <w:qFormat/>
    <w:rPr>
      <w:u w:val="none"/>
    </w:rPr>
  </w:style>
  <w:style w:type="character" w:styleId="ListLabel7">
    <w:name w:val="ListLabel 7"/>
    <w:qFormat/>
    <w:rPr>
      <w:u w:val="none"/>
    </w:rPr>
  </w:style>
  <w:style w:type="character" w:styleId="ListLabel8">
    <w:name w:val="ListLabel 8"/>
    <w:qFormat/>
    <w:rPr>
      <w:u w:val="none"/>
    </w:rPr>
  </w:style>
  <w:style w:type="character" w:styleId="ListLabel9">
    <w:name w:val="ListLabel 9"/>
    <w:qFormat/>
    <w:rPr>
      <w:u w:val="none"/>
    </w:rPr>
  </w:style>
  <w:style w:type="character" w:styleId="ListLabel10">
    <w:name w:val="ListLabel 10"/>
    <w:qFormat/>
    <w:rPr>
      <w:rFonts w:ascii="Times New Roman" w:hAnsi="Times New Roman"/>
      <w:sz w:val="28"/>
      <w:u w:val="none"/>
    </w:rPr>
  </w:style>
  <w:style w:type="character" w:styleId="ListLabel11">
    <w:name w:val="ListLabel 11"/>
    <w:qFormat/>
    <w:rPr>
      <w:u w:val="none"/>
    </w:rPr>
  </w:style>
  <w:style w:type="character" w:styleId="ListLabel12">
    <w:name w:val="ListLabel 12"/>
    <w:qFormat/>
    <w:rPr>
      <w:u w:val="none"/>
    </w:rPr>
  </w:style>
  <w:style w:type="character" w:styleId="ListLabel13">
    <w:name w:val="ListLabel 13"/>
    <w:qFormat/>
    <w:rPr>
      <w:u w:val="none"/>
    </w:rPr>
  </w:style>
  <w:style w:type="character" w:styleId="ListLabel14">
    <w:name w:val="ListLabel 14"/>
    <w:qFormat/>
    <w:rPr>
      <w:u w:val="none"/>
    </w:rPr>
  </w:style>
  <w:style w:type="character" w:styleId="ListLabel15">
    <w:name w:val="ListLabel 15"/>
    <w:qFormat/>
    <w:rPr>
      <w:u w:val="none"/>
    </w:rPr>
  </w:style>
  <w:style w:type="character" w:styleId="ListLabel16">
    <w:name w:val="ListLabel 16"/>
    <w:qFormat/>
    <w:rPr>
      <w:u w:val="none"/>
    </w:rPr>
  </w:style>
  <w:style w:type="character" w:styleId="ListLabel17">
    <w:name w:val="ListLabel 17"/>
    <w:qFormat/>
    <w:rPr>
      <w:u w:val="none"/>
    </w:rPr>
  </w:style>
  <w:style w:type="character" w:styleId="ListLabel18">
    <w:name w:val="ListLabel 18"/>
    <w:qFormat/>
    <w:rPr>
      <w:u w:val="none"/>
    </w:rPr>
  </w:style>
  <w:style w:type="character" w:styleId="ListLabel19">
    <w:name w:val="ListLabel 19"/>
    <w:qFormat/>
    <w:rPr>
      <w:rFonts w:ascii="Times New Roman" w:hAnsi="Times New Roman"/>
      <w:b/>
      <w:sz w:val="28"/>
      <w:u w:val="none"/>
    </w:rPr>
  </w:style>
  <w:style w:type="character" w:styleId="ListLabel20">
    <w:name w:val="ListLabel 20"/>
    <w:qFormat/>
    <w:rPr>
      <w:u w:val="none"/>
    </w:rPr>
  </w:style>
  <w:style w:type="character" w:styleId="ListLabel21">
    <w:name w:val="ListLabel 21"/>
    <w:qFormat/>
    <w:rPr>
      <w:u w:val="none"/>
    </w:rPr>
  </w:style>
  <w:style w:type="character" w:styleId="ListLabel22">
    <w:name w:val="ListLabel 22"/>
    <w:qFormat/>
    <w:rPr>
      <w:u w:val="none"/>
    </w:rPr>
  </w:style>
  <w:style w:type="character" w:styleId="ListLabel23">
    <w:name w:val="ListLabel 23"/>
    <w:qFormat/>
    <w:rPr>
      <w:u w:val="none"/>
    </w:rPr>
  </w:style>
  <w:style w:type="character" w:styleId="ListLabel24">
    <w:name w:val="ListLabel 24"/>
    <w:qFormat/>
    <w:rPr>
      <w:u w:val="none"/>
    </w:rPr>
  </w:style>
  <w:style w:type="character" w:styleId="ListLabel25">
    <w:name w:val="ListLabel 25"/>
    <w:qFormat/>
    <w:rPr>
      <w:u w:val="none"/>
    </w:rPr>
  </w:style>
  <w:style w:type="character" w:styleId="ListLabel26">
    <w:name w:val="ListLabel 26"/>
    <w:qFormat/>
    <w:rPr>
      <w:u w:val="none"/>
    </w:rPr>
  </w:style>
  <w:style w:type="character" w:styleId="ListLabel27">
    <w:name w:val="ListLabel 27"/>
    <w:qFormat/>
    <w:rPr>
      <w:u w:val="none"/>
    </w:rPr>
  </w:style>
  <w:style w:type="character" w:styleId="Style8">
    <w:name w:val="Текст у виносці Знак"/>
    <w:basedOn w:val="DefaultParagraphFont"/>
    <w:qFormat/>
    <w:rPr>
      <w:rFonts w:ascii="Segoe UI" w:hAnsi="Segoe UI" w:cs="Segoe UI"/>
      <w:sz w:val="18"/>
      <w:szCs w:val="18"/>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Title">
    <w:name w:val="Title"/>
    <w:basedOn w:val="Normal"/>
    <w:qFormat/>
    <w:pPr>
      <w:keepNext w:val="true"/>
      <w:keepLines/>
      <w:spacing w:before="0" w:after="60"/>
    </w:pPr>
    <w:rPr>
      <w:sz w:val="52"/>
      <w:szCs w:val="52"/>
    </w:rPr>
  </w:style>
  <w:style w:type="paragraph" w:styleId="Subtitle">
    <w:name w:val="Subtitle"/>
    <w:basedOn w:val="Normal"/>
    <w:qFormat/>
    <w:pPr>
      <w:keepNext w:val="true"/>
      <w:keepLines/>
      <w:spacing w:before="0" w:after="320"/>
    </w:pPr>
    <w:rPr>
      <w:color w:val="666666"/>
      <w:sz w:val="30"/>
      <w:szCs w:val="30"/>
    </w:rPr>
  </w:style>
  <w:style w:type="paragraph" w:styleId="Footer">
    <w:name w:val="Footer"/>
    <w:basedOn w:val="Normal"/>
    <w:pPr/>
    <w:rPr/>
  </w:style>
  <w:style w:type="paragraph" w:styleId="BalloonText">
    <w:name w:val="Balloon Text"/>
    <w:basedOn w:val="Normal"/>
    <w:qFormat/>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jcZHKxTrJRKpv1RmxoGtkaIH9z1w==">AMUW2mUNXh6EIW2T5HuDDKd/r9AWj9Q6mUc151O9fXet4AUygGF244S1MLGnB9FKbsGbDBwtFL5+NVV/9R6GJzmC1jOCv1c/0/JjqXQpJI5N3RLtSxtyYfHKjMV/pt4n4vmG/andhOwy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Application>LibreOffice/6.0.7.3$Linux_X86_64 LibreOffice_project/00m0$Build-3</Application>
  <Pages>5</Pages>
  <Words>880</Words>
  <Characters>6021</Characters>
  <CharactersWithSpaces>6856</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2019-09-24T07:38:00Z</dcterms:created>
  <dc:creator/>
  <dc:description/>
  <dc:language>en-US</dc:language>
  <cp:lastModifiedBy/>
  <dcterms:modified xsi:type="dcterms:W3CDTF">2020-06-17T17:38:21Z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