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23959" w14:textId="77777777" w:rsidR="00D91BF9" w:rsidRPr="00D91BF9" w:rsidRDefault="00D91BF9" w:rsidP="00EA52BA">
      <w:pPr>
        <w:spacing w:after="120" w:line="240" w:lineRule="auto"/>
        <w:jc w:val="right"/>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ПРОЕКТ </w:t>
      </w:r>
    </w:p>
    <w:p w14:paraId="715EF5BA" w14:textId="77777777" w:rsidR="00D91BF9" w:rsidRPr="00D91BF9" w:rsidRDefault="00D91BF9" w:rsidP="00EA52BA">
      <w:pPr>
        <w:spacing w:after="120" w:line="240" w:lineRule="auto"/>
        <w:jc w:val="right"/>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вноситься народними</w:t>
      </w:r>
    </w:p>
    <w:p w14:paraId="6305DE13" w14:textId="6C438CC8" w:rsidR="00D91BF9" w:rsidRDefault="00D91BF9" w:rsidP="00EA52BA">
      <w:pPr>
        <w:spacing w:after="120" w:line="240" w:lineRule="auto"/>
        <w:jc w:val="right"/>
        <w:rPr>
          <w:rFonts w:ascii="Times New Roman" w:eastAsia="Times New Roman" w:hAnsi="Times New Roman" w:cs="Times New Roman"/>
          <w:color w:val="000000"/>
          <w:sz w:val="28"/>
          <w:szCs w:val="28"/>
        </w:rPr>
      </w:pPr>
      <w:r w:rsidRPr="00D91BF9">
        <w:rPr>
          <w:rFonts w:ascii="Times New Roman" w:eastAsia="Times New Roman" w:hAnsi="Times New Roman" w:cs="Times New Roman"/>
          <w:color w:val="000000"/>
          <w:sz w:val="28"/>
          <w:szCs w:val="28"/>
        </w:rPr>
        <w:t>депутатами України</w:t>
      </w:r>
      <w:r w:rsidR="00D37794">
        <w:rPr>
          <w:rFonts w:ascii="Times New Roman" w:eastAsia="Times New Roman" w:hAnsi="Times New Roman" w:cs="Times New Roman"/>
          <w:color w:val="000000"/>
          <w:sz w:val="28"/>
          <w:szCs w:val="28"/>
        </w:rPr>
        <w:t xml:space="preserve"> членами Комітету </w:t>
      </w:r>
    </w:p>
    <w:p w14:paraId="439C6480" w14:textId="77777777" w:rsidR="00D37794" w:rsidRPr="00DD2854" w:rsidRDefault="00D37794" w:rsidP="00EA52BA">
      <w:pPr>
        <w:spacing w:after="12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Верховної Ради України з питань </w:t>
      </w:r>
      <w:r w:rsidRPr="00DD2854">
        <w:rPr>
          <w:rFonts w:ascii="Times New Roman" w:eastAsia="Times New Roman" w:hAnsi="Times New Roman" w:cs="Times New Roman"/>
          <w:color w:val="000000"/>
          <w:sz w:val="28"/>
          <w:szCs w:val="28"/>
        </w:rPr>
        <w:t xml:space="preserve">фінансів, </w:t>
      </w:r>
    </w:p>
    <w:p w14:paraId="767CD00F" w14:textId="6B68C613" w:rsidR="00D37794" w:rsidRPr="00DD2854" w:rsidRDefault="00D37794" w:rsidP="00EA52BA">
      <w:pPr>
        <w:spacing w:after="120" w:line="240" w:lineRule="auto"/>
        <w:jc w:val="right"/>
        <w:rPr>
          <w:rFonts w:ascii="Times New Roman" w:eastAsia="Times New Roman" w:hAnsi="Times New Roman" w:cs="Times New Roman"/>
          <w:color w:val="000000"/>
          <w:sz w:val="28"/>
          <w:szCs w:val="28"/>
        </w:rPr>
      </w:pPr>
      <w:r w:rsidRPr="00DD2854">
        <w:rPr>
          <w:rFonts w:ascii="Times New Roman" w:eastAsia="Times New Roman" w:hAnsi="Times New Roman" w:cs="Times New Roman"/>
          <w:color w:val="000000"/>
          <w:sz w:val="28"/>
          <w:szCs w:val="28"/>
        </w:rPr>
        <w:t>податкової та митної політики</w:t>
      </w:r>
    </w:p>
    <w:p w14:paraId="5AC22B17" w14:textId="3CE62855" w:rsidR="009C54D8" w:rsidRPr="00DD2854" w:rsidRDefault="00D37794" w:rsidP="009C54D8">
      <w:pPr>
        <w:spacing w:after="0" w:line="240" w:lineRule="auto"/>
        <w:jc w:val="right"/>
        <w:rPr>
          <w:rFonts w:ascii="Times New Roman" w:hAnsi="Times New Roman"/>
          <w:i/>
          <w:sz w:val="28"/>
          <w:szCs w:val="28"/>
          <w:lang w:val="ru-RU"/>
        </w:rPr>
      </w:pPr>
      <w:proofErr w:type="spellStart"/>
      <w:r w:rsidRPr="00DD2854">
        <w:rPr>
          <w:rFonts w:ascii="Times New Roman" w:eastAsia="Times New Roman" w:hAnsi="Times New Roman" w:cs="Times New Roman"/>
          <w:color w:val="000000"/>
          <w:sz w:val="28"/>
          <w:szCs w:val="28"/>
        </w:rPr>
        <w:t>Марусяком</w:t>
      </w:r>
      <w:proofErr w:type="spellEnd"/>
      <w:r w:rsidRPr="00DD2854">
        <w:rPr>
          <w:rFonts w:ascii="Times New Roman" w:eastAsia="Times New Roman" w:hAnsi="Times New Roman" w:cs="Times New Roman"/>
          <w:color w:val="000000"/>
          <w:sz w:val="28"/>
          <w:szCs w:val="28"/>
        </w:rPr>
        <w:t xml:space="preserve"> О.Р. </w:t>
      </w:r>
      <w:r w:rsidR="009C54D8" w:rsidRPr="00DD2854">
        <w:rPr>
          <w:rFonts w:ascii="Times New Roman" w:hAnsi="Times New Roman"/>
          <w:i/>
          <w:sz w:val="28"/>
          <w:szCs w:val="28"/>
        </w:rPr>
        <w:t>(Посвідчення №</w:t>
      </w:r>
      <w:r w:rsidR="00DD2854" w:rsidRPr="00DD2854">
        <w:rPr>
          <w:rFonts w:ascii="Times New Roman" w:hAnsi="Times New Roman"/>
          <w:i/>
          <w:sz w:val="28"/>
          <w:szCs w:val="28"/>
        </w:rPr>
        <w:t>51</w:t>
      </w:r>
      <w:r w:rsidR="009C54D8" w:rsidRPr="00DD2854">
        <w:rPr>
          <w:rFonts w:ascii="Times New Roman" w:hAnsi="Times New Roman"/>
          <w:i/>
          <w:sz w:val="28"/>
          <w:szCs w:val="28"/>
        </w:rPr>
        <w:t>)</w:t>
      </w:r>
    </w:p>
    <w:p w14:paraId="2D83AD08" w14:textId="7DD47FCE" w:rsidR="00D37794" w:rsidRPr="00D37794" w:rsidRDefault="00D37794" w:rsidP="00EA52BA">
      <w:pPr>
        <w:spacing w:after="120" w:line="240" w:lineRule="auto"/>
        <w:jc w:val="right"/>
        <w:rPr>
          <w:rFonts w:ascii="Times New Roman" w:eastAsia="Times New Roman" w:hAnsi="Times New Roman" w:cs="Times New Roman"/>
          <w:sz w:val="24"/>
          <w:szCs w:val="24"/>
        </w:rPr>
      </w:pPr>
      <w:r w:rsidRPr="00DD2854">
        <w:rPr>
          <w:rFonts w:ascii="Times New Roman" w:eastAsia="Times New Roman" w:hAnsi="Times New Roman" w:cs="Times New Roman"/>
          <w:color w:val="000000"/>
          <w:sz w:val="28"/>
          <w:szCs w:val="28"/>
        </w:rPr>
        <w:t>та іншими</w:t>
      </w:r>
    </w:p>
    <w:p w14:paraId="0806C9A2" w14:textId="77777777" w:rsidR="00D37794" w:rsidRDefault="00D37794" w:rsidP="00EA52BA">
      <w:pPr>
        <w:spacing w:after="120" w:line="240" w:lineRule="auto"/>
        <w:rPr>
          <w:rFonts w:ascii="Times New Roman" w:eastAsia="Times New Roman" w:hAnsi="Times New Roman" w:cs="Times New Roman"/>
          <w:sz w:val="24"/>
          <w:szCs w:val="24"/>
        </w:rPr>
      </w:pPr>
    </w:p>
    <w:p w14:paraId="4906756E" w14:textId="77777777" w:rsidR="009C54D8" w:rsidRPr="00D91BF9" w:rsidRDefault="009C54D8" w:rsidP="009C54D8">
      <w:pPr>
        <w:tabs>
          <w:tab w:val="left" w:pos="8595"/>
        </w:tabs>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3256254" w14:textId="7EDAD544" w:rsidR="00D91BF9" w:rsidRPr="00D91BF9" w:rsidRDefault="00D91BF9" w:rsidP="009C54D8">
      <w:pPr>
        <w:tabs>
          <w:tab w:val="left" w:pos="8595"/>
        </w:tabs>
        <w:spacing w:after="120" w:line="240" w:lineRule="auto"/>
        <w:rPr>
          <w:rFonts w:ascii="Times New Roman" w:eastAsia="Times New Roman" w:hAnsi="Times New Roman" w:cs="Times New Roman"/>
          <w:sz w:val="24"/>
          <w:szCs w:val="24"/>
        </w:rPr>
      </w:pPr>
    </w:p>
    <w:p w14:paraId="7C3A3223" w14:textId="77777777" w:rsidR="00D91BF9" w:rsidRPr="00D91BF9" w:rsidRDefault="00D91BF9" w:rsidP="00EA52BA">
      <w:pPr>
        <w:spacing w:after="120" w:line="240" w:lineRule="auto"/>
        <w:jc w:val="center"/>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ЗАКОН УКРАЇНИ</w:t>
      </w:r>
    </w:p>
    <w:p w14:paraId="5FA27235" w14:textId="3C82803A" w:rsidR="00D91BF9" w:rsidRPr="00D91BF9" w:rsidRDefault="00D91BF9" w:rsidP="00EA52BA">
      <w:pPr>
        <w:shd w:val="clear" w:color="auto" w:fill="FFFFFF"/>
        <w:spacing w:after="120" w:line="240" w:lineRule="auto"/>
        <w:jc w:val="center"/>
        <w:rPr>
          <w:rFonts w:ascii="Times New Roman" w:eastAsia="Times New Roman" w:hAnsi="Times New Roman" w:cs="Times New Roman"/>
          <w:sz w:val="24"/>
          <w:szCs w:val="24"/>
        </w:rPr>
      </w:pPr>
    </w:p>
    <w:p w14:paraId="1C4196B3" w14:textId="4F4224E3" w:rsidR="00D91BF9" w:rsidRPr="00D37794" w:rsidRDefault="00D91BF9" w:rsidP="00EA52BA">
      <w:pPr>
        <w:shd w:val="clear" w:color="auto" w:fill="FFFFFF"/>
        <w:spacing w:after="120" w:line="240" w:lineRule="auto"/>
        <w:jc w:val="center"/>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 xml:space="preserve">про внесення змін до Податкового кодексу України щодо оподаткування доходів від </w:t>
      </w:r>
      <w:r w:rsidR="00775DF0">
        <w:rPr>
          <w:rFonts w:ascii="Times New Roman" w:eastAsia="Times New Roman" w:hAnsi="Times New Roman" w:cs="Times New Roman"/>
          <w:b/>
          <w:bCs/>
          <w:color w:val="000000"/>
          <w:sz w:val="28"/>
          <w:szCs w:val="28"/>
        </w:rPr>
        <w:t xml:space="preserve">діяльності з </w:t>
      </w:r>
      <w:r w:rsidRPr="00D91BF9">
        <w:rPr>
          <w:rFonts w:ascii="Times New Roman" w:eastAsia="Times New Roman" w:hAnsi="Times New Roman" w:cs="Times New Roman"/>
          <w:b/>
          <w:bCs/>
          <w:color w:val="000000"/>
          <w:sz w:val="28"/>
          <w:szCs w:val="28"/>
        </w:rPr>
        <w:t>організації та проведення азартних ігор</w:t>
      </w:r>
      <w:r w:rsidR="00D37794">
        <w:rPr>
          <w:rFonts w:ascii="Times New Roman" w:eastAsia="Times New Roman" w:hAnsi="Times New Roman" w:cs="Times New Roman"/>
          <w:b/>
          <w:bCs/>
          <w:color w:val="000000"/>
          <w:sz w:val="28"/>
          <w:szCs w:val="28"/>
        </w:rPr>
        <w:t xml:space="preserve"> та лотерей </w:t>
      </w:r>
    </w:p>
    <w:p w14:paraId="1B3F2360" w14:textId="77777777" w:rsidR="00D91BF9" w:rsidRPr="00D91BF9" w:rsidRDefault="00D91BF9" w:rsidP="00EA52BA">
      <w:pPr>
        <w:shd w:val="clear" w:color="auto" w:fill="FFFFFF"/>
        <w:spacing w:after="120" w:line="240" w:lineRule="auto"/>
        <w:jc w:val="center"/>
        <w:rPr>
          <w:rFonts w:ascii="Times New Roman" w:eastAsia="Times New Roman" w:hAnsi="Times New Roman" w:cs="Times New Roman"/>
          <w:sz w:val="24"/>
          <w:szCs w:val="24"/>
        </w:rPr>
      </w:pPr>
      <w:r w:rsidRPr="00D91BF9">
        <w:rPr>
          <w:rFonts w:ascii="Times New Roman" w:eastAsia="Times New Roman" w:hAnsi="Times New Roman" w:cs="Times New Roman"/>
          <w:sz w:val="24"/>
          <w:szCs w:val="24"/>
        </w:rPr>
        <w:t> </w:t>
      </w:r>
    </w:p>
    <w:p w14:paraId="603CE540" w14:textId="663C0D62" w:rsidR="00D91BF9" w:rsidRPr="00D91BF9" w:rsidRDefault="00D91BF9" w:rsidP="00EA52BA">
      <w:pPr>
        <w:spacing w:after="120" w:line="240" w:lineRule="auto"/>
        <w:ind w:firstLine="709"/>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Верховна Рада України</w:t>
      </w:r>
      <w:r w:rsidR="00175699">
        <w:rPr>
          <w:rFonts w:ascii="Times New Roman" w:eastAsia="Times New Roman" w:hAnsi="Times New Roman" w:cs="Times New Roman"/>
          <w:color w:val="000000"/>
          <w:sz w:val="28"/>
          <w:szCs w:val="28"/>
        </w:rPr>
        <w:t xml:space="preserve"> </w:t>
      </w:r>
      <w:r w:rsidRPr="00D91BF9">
        <w:rPr>
          <w:rFonts w:ascii="Times New Roman" w:eastAsia="Times New Roman" w:hAnsi="Times New Roman" w:cs="Times New Roman"/>
          <w:b/>
          <w:bCs/>
          <w:color w:val="000000"/>
          <w:sz w:val="28"/>
          <w:szCs w:val="28"/>
        </w:rPr>
        <w:t>п о с т а н о в л я є</w:t>
      </w:r>
      <w:r w:rsidRPr="00D91BF9">
        <w:rPr>
          <w:rFonts w:ascii="Times New Roman" w:eastAsia="Times New Roman" w:hAnsi="Times New Roman" w:cs="Times New Roman"/>
          <w:color w:val="000000"/>
          <w:sz w:val="28"/>
          <w:szCs w:val="28"/>
        </w:rPr>
        <w:t>:</w:t>
      </w:r>
    </w:p>
    <w:p w14:paraId="1B33BE1D" w14:textId="77777777" w:rsidR="00D91BF9" w:rsidRPr="00D91BF9" w:rsidRDefault="00D91BF9" w:rsidP="00EA52BA">
      <w:pPr>
        <w:spacing w:after="120" w:line="240" w:lineRule="auto"/>
        <w:ind w:firstLine="709"/>
        <w:rPr>
          <w:rFonts w:ascii="Times New Roman" w:eastAsia="Times New Roman" w:hAnsi="Times New Roman" w:cs="Times New Roman"/>
          <w:sz w:val="24"/>
          <w:szCs w:val="24"/>
        </w:rPr>
      </w:pPr>
    </w:p>
    <w:p w14:paraId="4D117F0A" w14:textId="65DC97D0" w:rsidR="00D91BF9" w:rsidRPr="00D91BF9" w:rsidRDefault="00175699" w:rsidP="00EA52BA">
      <w:pPr>
        <w:shd w:val="clear" w:color="auto" w:fill="FFFFFF"/>
        <w:spacing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 </w:t>
      </w:r>
      <w:r w:rsidR="00D91BF9" w:rsidRPr="00D91BF9">
        <w:rPr>
          <w:rFonts w:ascii="Times New Roman" w:eastAsia="Times New Roman" w:hAnsi="Times New Roman" w:cs="Times New Roman"/>
          <w:color w:val="000000"/>
          <w:sz w:val="28"/>
          <w:szCs w:val="28"/>
        </w:rPr>
        <w:t>І. Внести до Податкового кодексу України (Відомості Верховної Ради України, 2011 р., № №13–17, ст.112) такі зміни:</w:t>
      </w:r>
    </w:p>
    <w:p w14:paraId="334389E3" w14:textId="25B170DE" w:rsidR="00D91BF9" w:rsidRPr="004F5DE1" w:rsidRDefault="00D91BF9" w:rsidP="00EA52BA">
      <w:pPr>
        <w:pStyle w:val="a4"/>
        <w:numPr>
          <w:ilvl w:val="0"/>
          <w:numId w:val="18"/>
        </w:numPr>
        <w:shd w:val="clear" w:color="auto" w:fill="FFFFFF"/>
        <w:spacing w:after="120" w:line="240" w:lineRule="auto"/>
        <w:jc w:val="both"/>
        <w:textAlignment w:val="baseline"/>
        <w:rPr>
          <w:rFonts w:ascii="Times New Roman" w:eastAsia="Times New Roman" w:hAnsi="Times New Roman" w:cs="Times New Roman"/>
          <w:bCs/>
          <w:color w:val="000000"/>
          <w:sz w:val="28"/>
          <w:szCs w:val="28"/>
        </w:rPr>
      </w:pPr>
      <w:r w:rsidRPr="004F5DE1">
        <w:rPr>
          <w:rFonts w:ascii="Times New Roman" w:eastAsia="Times New Roman" w:hAnsi="Times New Roman" w:cs="Times New Roman"/>
          <w:bCs/>
          <w:color w:val="000000"/>
          <w:sz w:val="28"/>
          <w:szCs w:val="28"/>
        </w:rPr>
        <w:t>У статті 14:</w:t>
      </w:r>
    </w:p>
    <w:p w14:paraId="410D887B" w14:textId="3A9A9DFF" w:rsidR="00D91BF9" w:rsidRDefault="00D91BF9"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sidRPr="00D91BF9">
        <w:rPr>
          <w:rFonts w:ascii="Times New Roman" w:eastAsia="Times New Roman" w:hAnsi="Times New Roman" w:cs="Times New Roman"/>
          <w:color w:val="000000"/>
          <w:sz w:val="28"/>
          <w:szCs w:val="28"/>
        </w:rPr>
        <w:t>у пункті 14.1:</w:t>
      </w:r>
    </w:p>
    <w:p w14:paraId="7715D8CB" w14:textId="029E5BCC" w:rsidR="00D37794" w:rsidRPr="00D37794" w:rsidRDefault="008637E6"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w:t>
      </w:r>
      <w:r w:rsidR="00D37794">
        <w:rPr>
          <w:rFonts w:ascii="Times New Roman" w:eastAsia="Times New Roman" w:hAnsi="Times New Roman" w:cs="Times New Roman"/>
          <w:color w:val="000000"/>
          <w:sz w:val="28"/>
          <w:szCs w:val="28"/>
        </w:rPr>
        <w:t xml:space="preserve"> підпункті 14.1.11</w:t>
      </w:r>
    </w:p>
    <w:p w14:paraId="3F39A74F" w14:textId="4425BD52" w:rsidR="00D91BF9" w:rsidRDefault="00D91BF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D91BF9">
        <w:rPr>
          <w:rFonts w:ascii="Times New Roman" w:eastAsia="Times New Roman" w:hAnsi="Times New Roman" w:cs="Times New Roman"/>
          <w:color w:val="000000"/>
          <w:sz w:val="28"/>
          <w:szCs w:val="28"/>
        </w:rPr>
        <w:t>підпункт “е” викласти в такій редакції:</w:t>
      </w:r>
    </w:p>
    <w:p w14:paraId="76DCD9F6" w14:textId="209CC8FE" w:rsidR="00D37794" w:rsidRPr="00D37794" w:rsidRDefault="00D37794" w:rsidP="00EA52BA">
      <w:pPr>
        <w:pStyle w:val="Rvps2"/>
        <w:spacing w:before="0" w:after="120"/>
        <w:ind w:firstLine="567"/>
        <w:jc w:val="both"/>
        <w:rPr>
          <w:sz w:val="28"/>
          <w:szCs w:val="28"/>
        </w:rPr>
      </w:pPr>
      <w:r w:rsidRPr="00D37794">
        <w:rPr>
          <w:color w:val="000000"/>
          <w:sz w:val="28"/>
          <w:szCs w:val="28"/>
        </w:rPr>
        <w:t>«</w:t>
      </w:r>
      <w:r w:rsidRPr="00D37794">
        <w:rPr>
          <w:sz w:val="28"/>
          <w:szCs w:val="28"/>
        </w:rPr>
        <w:t>е) частина призового (</w:t>
      </w:r>
      <w:r w:rsidRPr="00D37794">
        <w:rPr>
          <w:sz w:val="28"/>
          <w:szCs w:val="28"/>
          <w:shd w:val="clear" w:color="auto" w:fill="FFFFFF"/>
        </w:rPr>
        <w:t xml:space="preserve">виграшного) фонду лотереї, що </w:t>
      </w:r>
      <w:r w:rsidRPr="00D37794">
        <w:rPr>
          <w:sz w:val="28"/>
          <w:szCs w:val="28"/>
        </w:rPr>
        <w:t>станом на 31 грудня відповідного року</w:t>
      </w:r>
      <w:r w:rsidRPr="00D37794">
        <w:rPr>
          <w:sz w:val="28"/>
          <w:szCs w:val="28"/>
          <w:shd w:val="clear" w:color="auto" w:fill="FFFFFF"/>
        </w:rPr>
        <w:t xml:space="preserve"> залишилась незапитаною з будь-яких причин переможцями у встановлений умовами проведення лотереї строк (термін)</w:t>
      </w:r>
      <w:r w:rsidRPr="00D37794">
        <w:rPr>
          <w:sz w:val="28"/>
          <w:szCs w:val="28"/>
        </w:rPr>
        <w:t>;»;</w:t>
      </w:r>
    </w:p>
    <w:p w14:paraId="39D78BBF" w14:textId="56110451" w:rsidR="00D37794" w:rsidRDefault="00D37794" w:rsidP="00EA52BA">
      <w:pPr>
        <w:pStyle w:val="Rvps2"/>
        <w:spacing w:before="0" w:after="120"/>
        <w:ind w:firstLine="567"/>
        <w:jc w:val="both"/>
        <w:rPr>
          <w:sz w:val="28"/>
          <w:szCs w:val="28"/>
        </w:rPr>
      </w:pPr>
      <w:r>
        <w:rPr>
          <w:sz w:val="28"/>
          <w:szCs w:val="28"/>
        </w:rPr>
        <w:t>д</w:t>
      </w:r>
      <w:r w:rsidRPr="00D37794">
        <w:rPr>
          <w:sz w:val="28"/>
          <w:szCs w:val="28"/>
        </w:rPr>
        <w:t>оповнити підпунктом «и» такого змісту:</w:t>
      </w:r>
    </w:p>
    <w:p w14:paraId="5F6A2701" w14:textId="77777777" w:rsidR="008A2778" w:rsidRDefault="008A2778" w:rsidP="00EA52BA">
      <w:pPr>
        <w:pStyle w:val="Rvps2"/>
        <w:spacing w:before="0" w:after="120"/>
        <w:ind w:firstLine="567"/>
        <w:jc w:val="both"/>
        <w:rPr>
          <w:color w:val="000000"/>
          <w:sz w:val="28"/>
          <w:szCs w:val="28"/>
        </w:rPr>
      </w:pPr>
      <w:r w:rsidRPr="008A2778">
        <w:rPr>
          <w:color w:val="000000"/>
          <w:sz w:val="28"/>
          <w:szCs w:val="28"/>
        </w:rPr>
        <w:t>«и) сума виграшу (призу), повернення ставки або виплата гравцю, що станом на 31 грудня відповідного року залишилась незапитаною з будь-яких причин гравцями (переможцями) у встановлений правилами проведення відповідної азартної гри строк (термін);»</w:t>
      </w:r>
      <w:r>
        <w:rPr>
          <w:color w:val="000000"/>
          <w:sz w:val="28"/>
          <w:szCs w:val="28"/>
        </w:rPr>
        <w:t>;</w:t>
      </w:r>
    </w:p>
    <w:p w14:paraId="67983388" w14:textId="1623D9D5" w:rsidR="00D91BF9" w:rsidRDefault="008A2778" w:rsidP="00EA52BA">
      <w:pPr>
        <w:pStyle w:val="Rvps2"/>
        <w:spacing w:before="0" w:after="120"/>
        <w:ind w:firstLine="567"/>
        <w:jc w:val="both"/>
        <w:rPr>
          <w:color w:val="000000"/>
          <w:sz w:val="28"/>
          <w:szCs w:val="28"/>
        </w:rPr>
      </w:pPr>
      <w:r>
        <w:rPr>
          <w:color w:val="000000"/>
          <w:sz w:val="28"/>
          <w:szCs w:val="28"/>
        </w:rPr>
        <w:t>у підпункті 14.1.46 слова «лотерей, а також»</w:t>
      </w:r>
      <w:r w:rsidR="00D91BF9" w:rsidRPr="00D91BF9">
        <w:rPr>
          <w:color w:val="000000"/>
          <w:sz w:val="28"/>
          <w:szCs w:val="28"/>
        </w:rPr>
        <w:t xml:space="preserve"> виключити</w:t>
      </w:r>
      <w:r>
        <w:rPr>
          <w:color w:val="000000"/>
          <w:sz w:val="28"/>
          <w:szCs w:val="28"/>
        </w:rPr>
        <w:t xml:space="preserve"> </w:t>
      </w:r>
      <w:r w:rsidR="00D91BF9" w:rsidRPr="00D91BF9">
        <w:rPr>
          <w:color w:val="000000"/>
          <w:sz w:val="28"/>
          <w:szCs w:val="28"/>
        </w:rPr>
        <w:t>та доповнити реченням такого змісту:</w:t>
      </w:r>
      <w:r w:rsidR="00175699">
        <w:rPr>
          <w:color w:val="000000"/>
          <w:sz w:val="28"/>
          <w:szCs w:val="28"/>
        </w:rPr>
        <w:t xml:space="preserve"> </w:t>
      </w:r>
      <w:r>
        <w:rPr>
          <w:color w:val="000000"/>
          <w:sz w:val="28"/>
          <w:szCs w:val="28"/>
        </w:rPr>
        <w:t>«</w:t>
      </w:r>
      <w:r w:rsidR="00D91BF9" w:rsidRPr="00D91BF9">
        <w:rPr>
          <w:color w:val="000000"/>
          <w:sz w:val="28"/>
          <w:szCs w:val="28"/>
        </w:rPr>
        <w:t>До діяльності у сфері розваг не відноситься діяльність з організації та проведення азартних ігор</w:t>
      </w:r>
      <w:r w:rsidR="00694C64">
        <w:rPr>
          <w:color w:val="000000"/>
          <w:sz w:val="28"/>
          <w:szCs w:val="28"/>
        </w:rPr>
        <w:t>, а також діяльність з організації, в тому числі випуску, та проведення лотерей</w:t>
      </w:r>
      <w:r>
        <w:rPr>
          <w:color w:val="000000"/>
          <w:sz w:val="28"/>
          <w:szCs w:val="28"/>
        </w:rPr>
        <w:t>.»</w:t>
      </w:r>
      <w:r w:rsidR="00D91BF9" w:rsidRPr="00D91BF9">
        <w:rPr>
          <w:color w:val="000000"/>
          <w:sz w:val="28"/>
          <w:szCs w:val="28"/>
        </w:rPr>
        <w:t>;</w:t>
      </w:r>
    </w:p>
    <w:p w14:paraId="78687B92" w14:textId="2A7562CC" w:rsidR="00884B18" w:rsidRDefault="00884B18" w:rsidP="00EA52BA">
      <w:pPr>
        <w:pStyle w:val="Rvps2"/>
        <w:spacing w:before="0" w:after="120"/>
        <w:ind w:firstLine="567"/>
        <w:jc w:val="both"/>
        <w:rPr>
          <w:color w:val="000000"/>
          <w:sz w:val="28"/>
          <w:szCs w:val="28"/>
        </w:rPr>
      </w:pPr>
      <w:r>
        <w:rPr>
          <w:color w:val="000000"/>
          <w:sz w:val="28"/>
          <w:szCs w:val="28"/>
        </w:rPr>
        <w:lastRenderedPageBreak/>
        <w:t>підпункт 14.1.271 викласти у такій редакції:</w:t>
      </w:r>
    </w:p>
    <w:p w14:paraId="489BB044" w14:textId="74365C16" w:rsidR="00884B18" w:rsidRDefault="00884B18" w:rsidP="00EA52BA">
      <w:pPr>
        <w:pStyle w:val="Rvps2"/>
        <w:spacing w:before="0" w:after="120"/>
        <w:ind w:firstLine="567"/>
        <w:jc w:val="both"/>
        <w:rPr>
          <w:sz w:val="28"/>
          <w:szCs w:val="28"/>
        </w:rPr>
      </w:pPr>
      <w:r>
        <w:rPr>
          <w:color w:val="000000"/>
          <w:sz w:val="28"/>
          <w:szCs w:val="28"/>
        </w:rPr>
        <w:t>«</w:t>
      </w:r>
      <w:r>
        <w:rPr>
          <w:sz w:val="28"/>
          <w:szCs w:val="28"/>
        </w:rPr>
        <w:t xml:space="preserve">14.1.271. </w:t>
      </w:r>
      <w:r w:rsidRPr="00884B18">
        <w:rPr>
          <w:sz w:val="28"/>
          <w:szCs w:val="28"/>
        </w:rPr>
        <w:t>дохід від діяльності з випуску та проведення лотерей визначається як сума доходу, що залишився після формування виграшного фонду збільшена на суму</w:t>
      </w:r>
      <w:r>
        <w:rPr>
          <w:sz w:val="28"/>
          <w:szCs w:val="28"/>
        </w:rPr>
        <w:t xml:space="preserve"> безнадійної заборгованості, визначеної підпунктом "е" підпункту 14.1.11 цього пункту.</w:t>
      </w:r>
    </w:p>
    <w:p w14:paraId="3F2587B0" w14:textId="77777777" w:rsidR="00884B18" w:rsidRDefault="00884B18" w:rsidP="00EA52BA">
      <w:pPr>
        <w:pStyle w:val="Rvps2"/>
        <w:spacing w:before="0" w:after="120"/>
        <w:ind w:firstLine="567"/>
        <w:jc w:val="both"/>
        <w:rPr>
          <w:sz w:val="28"/>
          <w:szCs w:val="28"/>
        </w:rPr>
      </w:pPr>
      <w:r>
        <w:rPr>
          <w:sz w:val="28"/>
          <w:szCs w:val="28"/>
        </w:rPr>
        <w:t>Дохід, що залишився після формування виграшного фонду, - частина коштів, що становить різницю між загальною сумою доходів, отриманих від прийняття ставок у лотерею, та сумою сформованого виграшного фонду лотереї відповідно до умов її проведення.»;</w:t>
      </w:r>
    </w:p>
    <w:p w14:paraId="5EDF4248" w14:textId="03DC6122" w:rsidR="00D91BF9" w:rsidRDefault="00884B18" w:rsidP="00EA52BA">
      <w:pPr>
        <w:pStyle w:val="Rvps2"/>
        <w:spacing w:before="0" w:after="120"/>
        <w:ind w:firstLine="567"/>
        <w:jc w:val="both"/>
        <w:rPr>
          <w:color w:val="000000"/>
          <w:sz w:val="28"/>
          <w:szCs w:val="28"/>
        </w:rPr>
      </w:pPr>
      <w:r>
        <w:rPr>
          <w:color w:val="000000"/>
          <w:sz w:val="28"/>
          <w:szCs w:val="28"/>
        </w:rPr>
        <w:t>доповнити підпунктом 14.1.271</w:t>
      </w:r>
      <w:r w:rsidR="00D91BF9" w:rsidRPr="00884B18">
        <w:rPr>
          <w:color w:val="000000"/>
          <w:sz w:val="28"/>
          <w:szCs w:val="28"/>
          <w:vertAlign w:val="superscript"/>
        </w:rPr>
        <w:t>1</w:t>
      </w:r>
      <w:r w:rsidR="00D91BF9" w:rsidRPr="00D91BF9">
        <w:rPr>
          <w:color w:val="000000"/>
          <w:sz w:val="28"/>
          <w:szCs w:val="28"/>
        </w:rPr>
        <w:t xml:space="preserve"> такого змісту:</w:t>
      </w:r>
    </w:p>
    <w:p w14:paraId="161B388C" w14:textId="77777777" w:rsidR="004F5DE1" w:rsidRDefault="004F5DE1" w:rsidP="00EA52BA">
      <w:pPr>
        <w:pStyle w:val="Rvps2"/>
        <w:spacing w:before="0" w:after="120"/>
        <w:ind w:firstLine="567"/>
        <w:jc w:val="both"/>
        <w:rPr>
          <w:sz w:val="28"/>
          <w:szCs w:val="28"/>
        </w:rPr>
      </w:pPr>
      <w:r>
        <w:rPr>
          <w:sz w:val="28"/>
          <w:szCs w:val="28"/>
        </w:rPr>
        <w:t>«</w:t>
      </w:r>
      <w:r w:rsidRPr="004F5DE1">
        <w:rPr>
          <w:sz w:val="28"/>
          <w:szCs w:val="28"/>
        </w:rPr>
        <w:t>14.1.271</w:t>
      </w:r>
      <w:r w:rsidRPr="004F5DE1">
        <w:rPr>
          <w:sz w:val="28"/>
          <w:szCs w:val="28"/>
          <w:vertAlign w:val="superscript"/>
        </w:rPr>
        <w:t>1</w:t>
      </w:r>
      <w:r w:rsidRPr="004F5DE1">
        <w:rPr>
          <w:sz w:val="28"/>
          <w:szCs w:val="28"/>
        </w:rPr>
        <w:t>. дохід від діяльності з організації та проведення азартних ігор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виплачених гравцям протягом цього звітного періоду виграшів в такі азартні ігри, збільшена на суму безнадійної заборгованості, визначеної підпунктом "и" підпункту 14.1.11 цього пункту та  зменшена на суму виплачених гравцям протягом цього звітного періоду виграшів (призів), виплат в такі азартні</w:t>
      </w:r>
      <w:r>
        <w:rPr>
          <w:sz w:val="28"/>
          <w:szCs w:val="28"/>
        </w:rPr>
        <w:t xml:space="preserve"> ігри, повернень ставок.»;</w:t>
      </w:r>
    </w:p>
    <w:p w14:paraId="06F40F4D" w14:textId="6D97BB40" w:rsidR="00D91BF9" w:rsidRDefault="00D91BF9" w:rsidP="00EA52BA">
      <w:pPr>
        <w:pStyle w:val="Rvps2"/>
        <w:spacing w:before="0" w:after="120"/>
        <w:ind w:firstLine="567"/>
        <w:jc w:val="both"/>
        <w:rPr>
          <w:color w:val="000000"/>
          <w:sz w:val="28"/>
          <w:szCs w:val="28"/>
        </w:rPr>
      </w:pPr>
      <w:r w:rsidRPr="00D91BF9">
        <w:rPr>
          <w:color w:val="000000"/>
          <w:sz w:val="28"/>
          <w:szCs w:val="28"/>
        </w:rPr>
        <w:t>доповнити підпункт</w:t>
      </w:r>
      <w:r w:rsidR="004F5DE1">
        <w:rPr>
          <w:color w:val="000000"/>
          <w:sz w:val="28"/>
          <w:szCs w:val="28"/>
        </w:rPr>
        <w:t>ом</w:t>
      </w:r>
      <w:r w:rsidRPr="00D91BF9">
        <w:rPr>
          <w:color w:val="000000"/>
          <w:sz w:val="28"/>
          <w:szCs w:val="28"/>
        </w:rPr>
        <w:t xml:space="preserve"> 14.1.278</w:t>
      </w:r>
      <w:r w:rsidR="00CF4E05">
        <w:rPr>
          <w:color w:val="000000"/>
          <w:sz w:val="28"/>
          <w:szCs w:val="28"/>
        </w:rPr>
        <w:t xml:space="preserve"> </w:t>
      </w:r>
      <w:r w:rsidRPr="00D91BF9">
        <w:rPr>
          <w:color w:val="000000"/>
          <w:sz w:val="28"/>
          <w:szCs w:val="28"/>
        </w:rPr>
        <w:t>такого змісту:</w:t>
      </w:r>
    </w:p>
    <w:p w14:paraId="0DDC0EC6" w14:textId="0F24B7C8" w:rsidR="00D91BF9" w:rsidRPr="004F5DE1" w:rsidRDefault="004F5DE1" w:rsidP="00EA52BA">
      <w:pPr>
        <w:pStyle w:val="Rvps2"/>
        <w:spacing w:before="0" w:after="120"/>
        <w:ind w:firstLine="567"/>
        <w:jc w:val="both"/>
        <w:rPr>
          <w:color w:val="000000"/>
          <w:sz w:val="28"/>
          <w:szCs w:val="28"/>
        </w:rPr>
      </w:pPr>
      <w:r w:rsidRPr="004F5DE1">
        <w:rPr>
          <w:sz w:val="28"/>
          <w:szCs w:val="28"/>
        </w:rPr>
        <w:t>«14.1.278 діяльність з організації та проведення азартних ігор – це діяльність з організації та проведення азартних ігор у гральних закладах казино; діяльність з організації та проведення азартних ігор казино у мережі Інтернет, діяльність з організації та проведення азартних ігор у покер у мережі Інтернет, організація та проведення букмекерської діяльності (у тому числі діяльність з проведення парі тоталізатора на іподромі), діяльність з організації та проведення азартних ігор у залах гральних автоматів;»</w:t>
      </w:r>
      <w:r w:rsidR="006765FB">
        <w:rPr>
          <w:sz w:val="28"/>
          <w:szCs w:val="28"/>
        </w:rPr>
        <w:t>.</w:t>
      </w:r>
    </w:p>
    <w:p w14:paraId="4E2F7B19" w14:textId="3FD073D7" w:rsidR="00D91BF9" w:rsidRDefault="00CF4E05"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4F5DE1">
        <w:rPr>
          <w:rFonts w:ascii="Times New Roman" w:eastAsia="Times New Roman" w:hAnsi="Times New Roman" w:cs="Times New Roman"/>
          <w:bCs/>
          <w:color w:val="000000"/>
          <w:sz w:val="28"/>
          <w:szCs w:val="28"/>
        </w:rPr>
        <w:t xml:space="preserve"> </w:t>
      </w:r>
      <w:r w:rsidR="00D91BF9" w:rsidRPr="004F5DE1">
        <w:rPr>
          <w:rFonts w:ascii="Times New Roman" w:eastAsia="Times New Roman" w:hAnsi="Times New Roman" w:cs="Times New Roman"/>
          <w:bCs/>
          <w:color w:val="000000"/>
          <w:sz w:val="28"/>
          <w:szCs w:val="28"/>
        </w:rPr>
        <w:t>Підпункт 20.1.40 пункту 20.1 статті 20 виключити.</w:t>
      </w:r>
    </w:p>
    <w:p w14:paraId="3AF8D858" w14:textId="02BA9F1B" w:rsidR="004F5DE1" w:rsidRPr="00D361B4" w:rsidRDefault="00D361B4"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у пункті 134.1 статті 134:</w:t>
      </w:r>
    </w:p>
    <w:p w14:paraId="32087AA7" w14:textId="77777777" w:rsidR="00D361B4" w:rsidRPr="00D361B4" w:rsidRDefault="00D361B4" w:rsidP="00EA52BA">
      <w:pPr>
        <w:pStyle w:val="a4"/>
        <w:shd w:val="clear" w:color="auto" w:fill="FFFFFF"/>
        <w:spacing w:after="120" w:line="240" w:lineRule="auto"/>
        <w:ind w:left="1069"/>
        <w:jc w:val="both"/>
        <w:textAlignment w:val="baseline"/>
        <w:rPr>
          <w:rFonts w:ascii="Times New Roman" w:eastAsia="Times New Roman" w:hAnsi="Times New Roman" w:cs="Times New Roman"/>
          <w:sz w:val="28"/>
          <w:szCs w:val="28"/>
          <w:lang w:eastAsia="uk-UA"/>
        </w:rPr>
      </w:pPr>
      <w:r w:rsidRPr="00D361B4">
        <w:rPr>
          <w:rFonts w:ascii="Times New Roman" w:eastAsia="Times New Roman" w:hAnsi="Times New Roman" w:cs="Times New Roman"/>
          <w:sz w:val="28"/>
          <w:szCs w:val="28"/>
          <w:lang w:eastAsia="uk-UA"/>
        </w:rPr>
        <w:t>підпункти 134.1.4 та 134.1.5 викласти у такій редакції:</w:t>
      </w:r>
    </w:p>
    <w:p w14:paraId="1D362FA9" w14:textId="77777777" w:rsidR="00D361B4" w:rsidRPr="00D361B4" w:rsidRDefault="00D361B4" w:rsidP="00EA52BA">
      <w:pPr>
        <w:shd w:val="clear" w:color="auto" w:fill="FFFFFF"/>
        <w:spacing w:after="120" w:line="240" w:lineRule="auto"/>
        <w:ind w:firstLine="720"/>
        <w:jc w:val="both"/>
        <w:textAlignment w:val="baseline"/>
        <w:rPr>
          <w:rFonts w:ascii="Times New Roman" w:eastAsia="Times New Roman" w:hAnsi="Times New Roman" w:cs="Times New Roman"/>
          <w:sz w:val="28"/>
          <w:szCs w:val="28"/>
          <w:lang w:eastAsia="uk-UA"/>
        </w:rPr>
      </w:pPr>
      <w:r w:rsidRPr="00D361B4">
        <w:rPr>
          <w:rFonts w:ascii="Times New Roman" w:eastAsia="Times New Roman" w:hAnsi="Times New Roman" w:cs="Times New Roman"/>
          <w:sz w:val="28"/>
          <w:szCs w:val="28"/>
          <w:lang w:eastAsia="uk-UA"/>
        </w:rPr>
        <w:t>«134.1.4. дохід від діяльності з випуску та проведення лотерей підлягає оподаткуванню згідно з пунктом 141.8 статті 141 цього Кодексу;</w:t>
      </w:r>
    </w:p>
    <w:p w14:paraId="05FC029C" w14:textId="1C451E80" w:rsidR="00D361B4" w:rsidRPr="00D361B4" w:rsidRDefault="00D361B4" w:rsidP="00EA52BA">
      <w:pPr>
        <w:shd w:val="clear" w:color="auto" w:fill="FFFFFF"/>
        <w:spacing w:after="120" w:line="240" w:lineRule="auto"/>
        <w:ind w:firstLine="720"/>
        <w:jc w:val="both"/>
        <w:textAlignment w:val="baseline"/>
        <w:rPr>
          <w:rFonts w:ascii="Times New Roman" w:eastAsia="Times New Roman" w:hAnsi="Times New Roman" w:cs="Times New Roman"/>
          <w:sz w:val="28"/>
          <w:szCs w:val="28"/>
          <w:lang w:eastAsia="uk-UA"/>
        </w:rPr>
      </w:pPr>
      <w:r w:rsidRPr="00D361B4">
        <w:rPr>
          <w:rFonts w:ascii="Times New Roman" w:eastAsia="Times New Roman" w:hAnsi="Times New Roman" w:cs="Times New Roman"/>
          <w:sz w:val="28"/>
          <w:szCs w:val="28"/>
          <w:lang w:eastAsia="uk-UA"/>
        </w:rPr>
        <w:t>134.1.5. дохід від діяльності з організації та проведення азартних ігор підлягає оподаткуванню згідно з пунктом 141.5 статті 141 цього Кодексу.»;</w:t>
      </w:r>
    </w:p>
    <w:p w14:paraId="3B245E46" w14:textId="10EBC791" w:rsidR="00D361B4" w:rsidRDefault="00D361B4" w:rsidP="00EA52BA">
      <w:pPr>
        <w:pStyle w:val="a4"/>
        <w:shd w:val="clear" w:color="auto" w:fill="FFFFFF"/>
        <w:spacing w:after="120" w:line="360" w:lineRule="auto"/>
        <w:ind w:left="1069"/>
        <w:jc w:val="both"/>
        <w:textAlignment w:val="baseline"/>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підпункт 134.1.6 виключити</w:t>
      </w:r>
      <w:r w:rsidR="006765FB">
        <w:rPr>
          <w:rFonts w:ascii="Times New Roman" w:eastAsia="Times New Roman" w:hAnsi="Times New Roman" w:cs="Times New Roman"/>
          <w:bCs/>
          <w:color w:val="000000"/>
          <w:sz w:val="28"/>
          <w:szCs w:val="28"/>
        </w:rPr>
        <w:t>.</w:t>
      </w:r>
    </w:p>
    <w:p w14:paraId="1B63F6DA" w14:textId="645BC3EE" w:rsidR="00D361B4" w:rsidRDefault="006765FB"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У статті 136:</w:t>
      </w:r>
    </w:p>
    <w:p w14:paraId="2F78771A" w14:textId="6CA0603A" w:rsidR="006765FB" w:rsidRDefault="006765FB" w:rsidP="00EA52BA">
      <w:pPr>
        <w:pStyle w:val="a4"/>
        <w:shd w:val="clear" w:color="auto" w:fill="FFFFFF"/>
        <w:spacing w:after="120" w:line="360" w:lineRule="auto"/>
        <w:ind w:left="1069"/>
        <w:jc w:val="both"/>
        <w:textAlignment w:val="baseline"/>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пункт 136.4 викласти у такій редакції:</w:t>
      </w:r>
    </w:p>
    <w:p w14:paraId="23C7299A" w14:textId="54880673" w:rsidR="006765FB" w:rsidRPr="006765FB" w:rsidRDefault="006765FB" w:rsidP="00EA52BA">
      <w:pPr>
        <w:pStyle w:val="Rvps2"/>
        <w:shd w:val="clear" w:color="auto" w:fill="FFFFFF"/>
        <w:spacing w:before="0" w:after="120"/>
        <w:ind w:firstLine="567"/>
        <w:jc w:val="both"/>
        <w:rPr>
          <w:sz w:val="28"/>
          <w:szCs w:val="28"/>
        </w:rPr>
      </w:pPr>
      <w:r w:rsidRPr="006765FB">
        <w:rPr>
          <w:bCs/>
          <w:color w:val="000000"/>
          <w:sz w:val="28"/>
          <w:szCs w:val="28"/>
        </w:rPr>
        <w:t>«</w:t>
      </w:r>
      <w:bookmarkStart w:id="0" w:name="_Hlk28863270"/>
      <w:r w:rsidRPr="006765FB">
        <w:rPr>
          <w:sz w:val="28"/>
          <w:szCs w:val="28"/>
        </w:rPr>
        <w:t xml:space="preserve">136.4. Під час провадження діяльності з організації та проведення азартних ігор та діяльності з випуску та проведення лотерей  ставка податку </w:t>
      </w:r>
      <w:r w:rsidRPr="006765FB">
        <w:rPr>
          <w:sz w:val="28"/>
          <w:szCs w:val="28"/>
        </w:rPr>
        <w:lastRenderedPageBreak/>
        <w:t>на дохід встановлюється з урахуванням положень пункту 48</w:t>
      </w:r>
      <w:r w:rsidRPr="006765FB">
        <w:rPr>
          <w:sz w:val="28"/>
          <w:szCs w:val="28"/>
          <w:vertAlign w:val="superscript"/>
        </w:rPr>
        <w:t>1</w:t>
      </w:r>
      <w:r w:rsidRPr="006765FB">
        <w:rPr>
          <w:sz w:val="28"/>
          <w:szCs w:val="28"/>
        </w:rPr>
        <w:t> підрозділу 4 розділу XX цього Кодексу. у розмірі:</w:t>
      </w:r>
    </w:p>
    <w:p w14:paraId="2A93B2A4" w14:textId="77777777" w:rsidR="006765FB" w:rsidRPr="006765FB" w:rsidRDefault="006765FB" w:rsidP="00EA52BA">
      <w:pPr>
        <w:pStyle w:val="Rvps2"/>
        <w:shd w:val="clear" w:color="auto" w:fill="FFFFFF"/>
        <w:spacing w:before="0" w:after="120"/>
        <w:ind w:firstLine="567"/>
        <w:jc w:val="both"/>
        <w:rPr>
          <w:sz w:val="28"/>
          <w:szCs w:val="28"/>
        </w:rPr>
      </w:pPr>
      <w:r w:rsidRPr="006765FB">
        <w:rPr>
          <w:sz w:val="28"/>
          <w:szCs w:val="28"/>
        </w:rPr>
        <w:t xml:space="preserve">136.4.1. 5 відсотків від доходу, отриманого від організації та проведення букмекерської діяльності (у тому числі діяльність з проведення парі тоталізатора на іподромі); </w:t>
      </w:r>
    </w:p>
    <w:p w14:paraId="220CE20F" w14:textId="77777777" w:rsidR="006765FB" w:rsidRPr="006765FB" w:rsidRDefault="006765FB" w:rsidP="00EA52BA">
      <w:pPr>
        <w:pStyle w:val="Rvps2"/>
        <w:shd w:val="clear" w:color="auto" w:fill="FFFFFF"/>
        <w:spacing w:before="0" w:after="120"/>
        <w:ind w:firstLine="567"/>
        <w:jc w:val="both"/>
        <w:rPr>
          <w:sz w:val="28"/>
          <w:szCs w:val="28"/>
        </w:rPr>
      </w:pPr>
      <w:r w:rsidRPr="006765FB">
        <w:rPr>
          <w:sz w:val="28"/>
          <w:szCs w:val="28"/>
        </w:rPr>
        <w:t>136.4.2. 10 відсотків від доходу отриманого від  діяльності з організації та проведення азартних ігор в казино у мережі Інтернет, діяльність з організації та проведення азартних ігор у покер у мережі Інтернет;</w:t>
      </w:r>
    </w:p>
    <w:p w14:paraId="567ED633" w14:textId="77777777" w:rsidR="006765FB" w:rsidRPr="006765FB" w:rsidRDefault="006765FB" w:rsidP="00EA52BA">
      <w:pPr>
        <w:pStyle w:val="Rvps2"/>
        <w:shd w:val="clear" w:color="auto" w:fill="FFFFFF"/>
        <w:spacing w:before="0" w:after="120"/>
        <w:ind w:firstLine="567"/>
        <w:jc w:val="both"/>
        <w:rPr>
          <w:sz w:val="28"/>
          <w:szCs w:val="28"/>
        </w:rPr>
      </w:pPr>
      <w:r w:rsidRPr="006765FB">
        <w:rPr>
          <w:sz w:val="28"/>
          <w:szCs w:val="28"/>
        </w:rPr>
        <w:t xml:space="preserve">136.4.3. 12,5 відсотків від доходу отриманого від  діяльності з організації та проведення азартних ігор в залах гральних автоматів та діяльності з організації та проведення азартних ігор в гральних закладах казино; </w:t>
      </w:r>
    </w:p>
    <w:p w14:paraId="4885FA8A" w14:textId="1FE1B977" w:rsidR="006765FB" w:rsidRDefault="006765FB" w:rsidP="00EA52BA">
      <w:pPr>
        <w:pStyle w:val="Rvps2"/>
        <w:shd w:val="clear" w:color="auto" w:fill="FFFFFF"/>
        <w:spacing w:before="0" w:after="120"/>
        <w:ind w:firstLine="567"/>
        <w:jc w:val="both"/>
        <w:rPr>
          <w:sz w:val="28"/>
          <w:szCs w:val="28"/>
        </w:rPr>
      </w:pPr>
      <w:r w:rsidRPr="006765FB">
        <w:rPr>
          <w:sz w:val="28"/>
          <w:szCs w:val="28"/>
        </w:rPr>
        <w:t>136.4.4. 10 відсотків від доходу, отриманого від діяльності з випуску та проведення лотерей.</w:t>
      </w:r>
      <w:r>
        <w:rPr>
          <w:sz w:val="28"/>
          <w:szCs w:val="28"/>
        </w:rPr>
        <w:t>»;</w:t>
      </w:r>
    </w:p>
    <w:p w14:paraId="3194DA68" w14:textId="21AA5C28" w:rsidR="006765FB" w:rsidRDefault="006765FB" w:rsidP="00EA52BA">
      <w:pPr>
        <w:pStyle w:val="Rvps2"/>
        <w:shd w:val="clear" w:color="auto" w:fill="FFFFFF"/>
        <w:spacing w:before="0" w:after="120"/>
        <w:ind w:firstLine="567"/>
        <w:jc w:val="both"/>
        <w:rPr>
          <w:sz w:val="28"/>
          <w:szCs w:val="28"/>
        </w:rPr>
      </w:pPr>
      <w:r>
        <w:rPr>
          <w:sz w:val="28"/>
          <w:szCs w:val="28"/>
        </w:rPr>
        <w:t>пункт 136.6 виключити.</w:t>
      </w:r>
    </w:p>
    <w:bookmarkEnd w:id="0"/>
    <w:p w14:paraId="6833A8BB" w14:textId="7778AA3F" w:rsidR="00DE2BE8" w:rsidRPr="00793986" w:rsidRDefault="00DE2BE8" w:rsidP="00EA52BA">
      <w:pPr>
        <w:pStyle w:val="Rvps2"/>
        <w:numPr>
          <w:ilvl w:val="0"/>
          <w:numId w:val="18"/>
        </w:numPr>
        <w:shd w:val="clear" w:color="auto" w:fill="FFFFFF"/>
        <w:spacing w:before="0" w:after="120"/>
        <w:jc w:val="both"/>
        <w:rPr>
          <w:sz w:val="28"/>
          <w:szCs w:val="28"/>
        </w:rPr>
      </w:pPr>
      <w:r w:rsidRPr="00793986">
        <w:rPr>
          <w:bCs/>
          <w:color w:val="000000"/>
          <w:sz w:val="28"/>
          <w:szCs w:val="28"/>
        </w:rPr>
        <w:t>П</w:t>
      </w:r>
      <w:r w:rsidR="00D91BF9" w:rsidRPr="00793986">
        <w:rPr>
          <w:bCs/>
          <w:color w:val="000000"/>
          <w:sz w:val="28"/>
          <w:szCs w:val="28"/>
        </w:rPr>
        <w:t xml:space="preserve">ункт 137.8 статті 137 </w:t>
      </w:r>
      <w:r w:rsidRPr="00793986">
        <w:rPr>
          <w:bCs/>
          <w:color w:val="000000"/>
          <w:sz w:val="28"/>
          <w:szCs w:val="28"/>
        </w:rPr>
        <w:t>викласти в такій редакції:</w:t>
      </w:r>
    </w:p>
    <w:p w14:paraId="23D3A81F" w14:textId="68BB3BD0" w:rsidR="00793986" w:rsidRPr="00793986" w:rsidRDefault="00793986" w:rsidP="00EA52BA">
      <w:pPr>
        <w:pStyle w:val="Rvps2"/>
        <w:shd w:val="clear" w:color="auto" w:fill="FFFFFF"/>
        <w:spacing w:before="0" w:after="120"/>
        <w:ind w:firstLine="567"/>
        <w:jc w:val="both"/>
        <w:rPr>
          <w:sz w:val="28"/>
          <w:szCs w:val="28"/>
          <w:lang w:val="ru-RU"/>
        </w:rPr>
      </w:pPr>
      <w:r w:rsidRPr="00793986">
        <w:rPr>
          <w:bCs/>
          <w:color w:val="000000"/>
          <w:sz w:val="28"/>
          <w:szCs w:val="28"/>
        </w:rPr>
        <w:t>«</w:t>
      </w:r>
      <w:r w:rsidRPr="00793986">
        <w:rPr>
          <w:sz w:val="28"/>
          <w:szCs w:val="28"/>
        </w:rPr>
        <w:t>137.8. Платники податку на дохід: суб’єкти, які здійснюють</w:t>
      </w:r>
      <w:bookmarkStart w:id="1" w:name="_Hlk28863952"/>
      <w:r w:rsidRPr="00793986">
        <w:rPr>
          <w:sz w:val="28"/>
          <w:szCs w:val="28"/>
        </w:rPr>
        <w:t xml:space="preserve"> діяльність з організації та проведення азартних ігор та/або діяльність з випуску та проведення лотерей, </w:t>
      </w:r>
      <w:bookmarkEnd w:id="1"/>
      <w:r w:rsidRPr="00793986">
        <w:rPr>
          <w:bCs/>
          <w:sz w:val="28"/>
          <w:szCs w:val="28"/>
        </w:rPr>
        <w:t>щоквартально</w:t>
      </w:r>
      <w:r w:rsidRPr="00793986">
        <w:rPr>
          <w:sz w:val="28"/>
          <w:szCs w:val="28"/>
        </w:rPr>
        <w:t xml:space="preserve"> сплачують податок на дохід у порядку і в строки, які встановлені для </w:t>
      </w:r>
      <w:r w:rsidRPr="00793986">
        <w:rPr>
          <w:bCs/>
          <w:sz w:val="28"/>
          <w:szCs w:val="28"/>
        </w:rPr>
        <w:t xml:space="preserve">квартального </w:t>
      </w:r>
      <w:r w:rsidRPr="00793986">
        <w:rPr>
          <w:sz w:val="28"/>
          <w:szCs w:val="28"/>
        </w:rPr>
        <w:t xml:space="preserve">податкового (звітного) періоду з поданням податкової декларації з податку на прибуток. У податковій декларації з податку на прибуток такими платниками податків відображається отриманий ними дохід щодо кожного виду діяльності, зазначеного в пункті 136.4 статті 136 цього Кодексу, </w:t>
      </w:r>
      <w:proofErr w:type="spellStart"/>
      <w:r w:rsidRPr="00793986">
        <w:rPr>
          <w:sz w:val="28"/>
          <w:szCs w:val="28"/>
          <w:lang w:val="ru-RU"/>
        </w:rPr>
        <w:t>який</w:t>
      </w:r>
      <w:proofErr w:type="spellEnd"/>
      <w:r w:rsidRPr="00793986">
        <w:rPr>
          <w:sz w:val="28"/>
          <w:szCs w:val="28"/>
          <w:lang w:val="ru-RU"/>
        </w:rPr>
        <w:t xml:space="preserve"> ними проводиться.».</w:t>
      </w:r>
    </w:p>
    <w:p w14:paraId="71F27AB1" w14:textId="18A069F3" w:rsidR="00793986" w:rsidRPr="00793986" w:rsidRDefault="00793986" w:rsidP="00EA52BA">
      <w:pPr>
        <w:pStyle w:val="Rvps2"/>
        <w:numPr>
          <w:ilvl w:val="0"/>
          <w:numId w:val="18"/>
        </w:numPr>
        <w:shd w:val="clear" w:color="auto" w:fill="FFFFFF"/>
        <w:spacing w:before="0" w:after="120"/>
        <w:jc w:val="both"/>
        <w:rPr>
          <w:sz w:val="28"/>
          <w:szCs w:val="28"/>
        </w:rPr>
      </w:pPr>
      <w:r w:rsidRPr="00793986">
        <w:rPr>
          <w:sz w:val="28"/>
          <w:szCs w:val="28"/>
        </w:rPr>
        <w:t>У статті 141:</w:t>
      </w:r>
    </w:p>
    <w:p w14:paraId="64DCD18E" w14:textId="477B7F5D" w:rsidR="009C6BCA" w:rsidRPr="009C6BCA" w:rsidRDefault="009C6BCA" w:rsidP="00EA52BA">
      <w:pPr>
        <w:pStyle w:val="Rvps2"/>
        <w:shd w:val="clear" w:color="auto" w:fill="FFFFFF"/>
        <w:spacing w:before="0" w:after="120"/>
        <w:ind w:left="1069"/>
        <w:jc w:val="both"/>
        <w:rPr>
          <w:sz w:val="28"/>
          <w:szCs w:val="28"/>
        </w:rPr>
      </w:pPr>
      <w:r>
        <w:rPr>
          <w:color w:val="000000"/>
          <w:sz w:val="28"/>
          <w:szCs w:val="28"/>
        </w:rPr>
        <w:t xml:space="preserve">у </w:t>
      </w:r>
      <w:r w:rsidRPr="00D91BF9">
        <w:rPr>
          <w:color w:val="000000"/>
          <w:sz w:val="28"/>
          <w:szCs w:val="28"/>
        </w:rPr>
        <w:t>підпункт</w:t>
      </w:r>
      <w:r>
        <w:rPr>
          <w:color w:val="000000"/>
          <w:sz w:val="28"/>
          <w:szCs w:val="28"/>
        </w:rPr>
        <w:t>і «і»</w:t>
      </w:r>
      <w:r w:rsidRPr="00D91BF9">
        <w:rPr>
          <w:color w:val="000000"/>
          <w:sz w:val="28"/>
          <w:szCs w:val="28"/>
        </w:rPr>
        <w:t xml:space="preserve"> підпункту 141.4.1 пункту 141.4</w:t>
      </w:r>
      <w:r>
        <w:rPr>
          <w:color w:val="000000"/>
          <w:sz w:val="28"/>
          <w:szCs w:val="28"/>
        </w:rPr>
        <w:t xml:space="preserve"> слова та символи: </w:t>
      </w:r>
      <w:r w:rsidRPr="009C6BCA">
        <w:rPr>
          <w:color w:val="000000"/>
          <w:sz w:val="28"/>
          <w:szCs w:val="28"/>
        </w:rPr>
        <w:t>«</w:t>
      </w:r>
      <w:r w:rsidRPr="009C6BCA">
        <w:rPr>
          <w:sz w:val="28"/>
          <w:szCs w:val="28"/>
        </w:rPr>
        <w:t>(крім діяльності з проведення лотереї)» виключити;</w:t>
      </w:r>
    </w:p>
    <w:p w14:paraId="00CAC714" w14:textId="77777777" w:rsidR="009C6BCA" w:rsidRDefault="009C6BCA" w:rsidP="00EA52BA">
      <w:pPr>
        <w:pStyle w:val="Rvps2"/>
        <w:shd w:val="clear" w:color="auto" w:fill="FFFFFF"/>
        <w:spacing w:before="0" w:after="120"/>
        <w:ind w:left="1069"/>
        <w:jc w:val="both"/>
        <w:rPr>
          <w:sz w:val="28"/>
          <w:szCs w:val="28"/>
        </w:rPr>
      </w:pPr>
      <w:r w:rsidRPr="009C6BCA">
        <w:rPr>
          <w:sz w:val="28"/>
          <w:szCs w:val="28"/>
        </w:rPr>
        <w:t>пункт 141.5 викласти у такій редакції:</w:t>
      </w:r>
    </w:p>
    <w:p w14:paraId="622F5400" w14:textId="77777777" w:rsidR="009C6BCA" w:rsidRDefault="009C6BCA" w:rsidP="00EA52BA">
      <w:pPr>
        <w:pStyle w:val="Rvps2"/>
        <w:shd w:val="clear" w:color="auto" w:fill="FFFFFF"/>
        <w:spacing w:before="0" w:after="120"/>
        <w:ind w:firstLine="567"/>
        <w:jc w:val="both"/>
        <w:rPr>
          <w:sz w:val="28"/>
          <w:szCs w:val="28"/>
        </w:rPr>
      </w:pPr>
      <w:r w:rsidRPr="009C6BCA">
        <w:rPr>
          <w:color w:val="000000"/>
          <w:sz w:val="28"/>
          <w:szCs w:val="28"/>
        </w:rPr>
        <w:t>«141.5. Особливості оподаткування діяльності з організації та проведення азартних ігор:</w:t>
      </w:r>
    </w:p>
    <w:p w14:paraId="1020310A" w14:textId="77777777" w:rsidR="009C6BCA" w:rsidRDefault="009C6BCA" w:rsidP="00EA52BA">
      <w:pPr>
        <w:pStyle w:val="Rvps2"/>
        <w:shd w:val="clear" w:color="auto" w:fill="FFFFFF"/>
        <w:spacing w:before="0" w:after="120"/>
        <w:ind w:firstLine="567"/>
        <w:jc w:val="both"/>
        <w:rPr>
          <w:sz w:val="28"/>
          <w:szCs w:val="28"/>
        </w:rPr>
      </w:pPr>
      <w:r w:rsidRPr="009C6BCA">
        <w:rPr>
          <w:color w:val="000000"/>
          <w:sz w:val="28"/>
          <w:szCs w:val="28"/>
        </w:rPr>
        <w:t>141.5.1. Діяльність з організації та проведення азартних ігор оподатковується одночасно податком на прибуток за ставкою, визначеною у пункті 136.1 статті 136 цього Кодексу, та податком на дохід за ставками, визначеними у підпунктах 136.4.1-136.4.3 пункту 136.4 статті 136 цього Кодексу.</w:t>
      </w:r>
    </w:p>
    <w:p w14:paraId="7E640258" w14:textId="77777777" w:rsidR="009C6BCA" w:rsidRDefault="009C6BCA" w:rsidP="00EA52BA">
      <w:pPr>
        <w:pStyle w:val="Rvps2"/>
        <w:shd w:val="clear" w:color="auto" w:fill="FFFFFF"/>
        <w:spacing w:before="0" w:after="120"/>
        <w:ind w:firstLine="567"/>
        <w:jc w:val="both"/>
        <w:rPr>
          <w:color w:val="000000"/>
          <w:sz w:val="28"/>
          <w:szCs w:val="28"/>
        </w:rPr>
      </w:pPr>
      <w:r w:rsidRPr="009C6BCA">
        <w:rPr>
          <w:color w:val="000000"/>
          <w:sz w:val="28"/>
          <w:szCs w:val="28"/>
        </w:rPr>
        <w:t>Нарахований податок на дохід від діяльності з організації та проведення азартних ігор за ставками, визначеними у підпунктах 136.4.1-136.4.3 пункту 136.4 статті 136 цього Кодексу, є різницею та зменшує фінансовий результат до оподаткування такої діяльності.</w:t>
      </w:r>
    </w:p>
    <w:p w14:paraId="2AF173E6" w14:textId="5B19AEC4" w:rsidR="009C6BCA" w:rsidRDefault="009C6BCA" w:rsidP="00EA52BA">
      <w:pPr>
        <w:pStyle w:val="Rvps2"/>
        <w:shd w:val="clear" w:color="auto" w:fill="FFFFFF"/>
        <w:spacing w:before="0" w:after="120"/>
        <w:ind w:firstLine="567"/>
        <w:jc w:val="both"/>
        <w:rPr>
          <w:color w:val="000000"/>
          <w:sz w:val="28"/>
          <w:szCs w:val="28"/>
        </w:rPr>
      </w:pPr>
      <w:r w:rsidRPr="009C6BCA">
        <w:rPr>
          <w:color w:val="000000"/>
          <w:sz w:val="28"/>
          <w:szCs w:val="28"/>
        </w:rPr>
        <w:lastRenderedPageBreak/>
        <w:t>Прибуток суб’єктів, що здійснюють діяльність з організації та проведення азартних ігор, від здійснення іншої діяльності, яка не пов’язана із організацією та проведенням азартних ігор, нараховується та сплачується за правилами цього розділу за базовою (основною) ставкою податку, якщо інше не передбачено цим Кодексом.</w:t>
      </w:r>
      <w:r>
        <w:rPr>
          <w:color w:val="000000"/>
          <w:sz w:val="28"/>
          <w:szCs w:val="28"/>
        </w:rPr>
        <w:t>»;</w:t>
      </w:r>
    </w:p>
    <w:p w14:paraId="0352806E" w14:textId="46F45D65" w:rsidR="009C6BCA" w:rsidRPr="009C6BCA" w:rsidRDefault="009C6BCA" w:rsidP="00EA52BA">
      <w:pPr>
        <w:pStyle w:val="Rvps2"/>
        <w:shd w:val="clear" w:color="auto" w:fill="FFFFFF"/>
        <w:spacing w:before="0" w:after="120"/>
        <w:ind w:firstLine="567"/>
        <w:jc w:val="both"/>
        <w:rPr>
          <w:sz w:val="28"/>
          <w:szCs w:val="28"/>
        </w:rPr>
      </w:pPr>
      <w:r>
        <w:rPr>
          <w:color w:val="000000"/>
          <w:sz w:val="28"/>
          <w:szCs w:val="28"/>
        </w:rPr>
        <w:t>пункт 141.8 викласти у такій редакції:</w:t>
      </w:r>
    </w:p>
    <w:p w14:paraId="3F8A8598" w14:textId="77777777" w:rsidR="00627534" w:rsidRPr="00627534" w:rsidRDefault="00627534" w:rsidP="00EA52BA">
      <w:pPr>
        <w:pStyle w:val="Rvps2"/>
        <w:shd w:val="clear" w:color="auto" w:fill="FFFFFF"/>
        <w:spacing w:before="0" w:after="120"/>
        <w:ind w:firstLine="567"/>
        <w:jc w:val="both"/>
        <w:rPr>
          <w:bCs/>
          <w:sz w:val="28"/>
          <w:szCs w:val="28"/>
        </w:rPr>
      </w:pPr>
      <w:r w:rsidRPr="00627534">
        <w:rPr>
          <w:sz w:val="28"/>
          <w:szCs w:val="28"/>
        </w:rPr>
        <w:t>«</w:t>
      </w:r>
      <w:r w:rsidRPr="00627534">
        <w:rPr>
          <w:bCs/>
          <w:sz w:val="28"/>
          <w:szCs w:val="28"/>
        </w:rPr>
        <w:t xml:space="preserve">141.8. Особливості оподаткування суб’єктів, які здійснюють </w:t>
      </w:r>
      <w:r w:rsidRPr="00627534">
        <w:rPr>
          <w:sz w:val="28"/>
          <w:szCs w:val="28"/>
        </w:rPr>
        <w:t>діяльність з випуску та проведення лотерей</w:t>
      </w:r>
      <w:r w:rsidRPr="00627534">
        <w:rPr>
          <w:bCs/>
          <w:sz w:val="28"/>
          <w:szCs w:val="28"/>
        </w:rPr>
        <w:t>.</w:t>
      </w:r>
    </w:p>
    <w:p w14:paraId="4033DD14" w14:textId="3CEB5F06" w:rsidR="00627534" w:rsidRPr="00627534" w:rsidRDefault="00627534" w:rsidP="00EA52BA">
      <w:pPr>
        <w:pStyle w:val="Rvps2"/>
        <w:shd w:val="clear" w:color="auto" w:fill="FFFFFF"/>
        <w:spacing w:before="0" w:after="120"/>
        <w:ind w:firstLine="567"/>
        <w:jc w:val="both"/>
        <w:rPr>
          <w:sz w:val="28"/>
          <w:szCs w:val="28"/>
        </w:rPr>
      </w:pPr>
      <w:r w:rsidRPr="00627534">
        <w:rPr>
          <w:sz w:val="28"/>
          <w:szCs w:val="28"/>
        </w:rPr>
        <w:t xml:space="preserve">Дохід від діяльності з випуску та проведення лотерей оподатковується </w:t>
      </w:r>
      <w:r w:rsidR="007F2FCF">
        <w:rPr>
          <w:sz w:val="28"/>
          <w:szCs w:val="28"/>
        </w:rPr>
        <w:t xml:space="preserve">виключно </w:t>
      </w:r>
      <w:r w:rsidRPr="00627534">
        <w:rPr>
          <w:sz w:val="28"/>
          <w:szCs w:val="28"/>
        </w:rPr>
        <w:t xml:space="preserve">за ставкою, визначеною у </w:t>
      </w:r>
      <w:r w:rsidRPr="00627534">
        <w:rPr>
          <w:rFonts w:eastAsiaTheme="majorEastAsia"/>
          <w:sz w:val="28"/>
          <w:szCs w:val="28"/>
        </w:rPr>
        <w:t>підпункті 136.4.4</w:t>
      </w:r>
      <w:r w:rsidRPr="00627534">
        <w:rPr>
          <w:sz w:val="28"/>
          <w:szCs w:val="28"/>
        </w:rPr>
        <w:t> пункту 136.4 статті 136 цього Кодексу.</w:t>
      </w:r>
    </w:p>
    <w:p w14:paraId="20B51F56" w14:textId="77777777" w:rsidR="00627534" w:rsidRPr="00627534" w:rsidRDefault="00627534" w:rsidP="00EA52BA">
      <w:pPr>
        <w:pStyle w:val="Rvps2"/>
        <w:shd w:val="clear" w:color="auto" w:fill="FFFFFF"/>
        <w:spacing w:before="0" w:after="120"/>
        <w:ind w:firstLine="567"/>
        <w:jc w:val="both"/>
        <w:rPr>
          <w:bCs/>
          <w:sz w:val="28"/>
          <w:szCs w:val="28"/>
        </w:rPr>
      </w:pPr>
      <w:r w:rsidRPr="00627534">
        <w:rPr>
          <w:bCs/>
          <w:sz w:val="28"/>
          <w:szCs w:val="28"/>
        </w:rPr>
        <w:t xml:space="preserve">Прибуток суб’єктів, </w:t>
      </w:r>
      <w:r w:rsidRPr="00627534">
        <w:rPr>
          <w:sz w:val="28"/>
          <w:szCs w:val="28"/>
        </w:rPr>
        <w:t>що здійснюють діяльність з випуску та проведення лотерей</w:t>
      </w:r>
      <w:r w:rsidRPr="00627534">
        <w:rPr>
          <w:bCs/>
          <w:sz w:val="28"/>
          <w:szCs w:val="28"/>
        </w:rPr>
        <w:t>,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 якщо інше не передбачено цим Кодексом.</w:t>
      </w:r>
    </w:p>
    <w:p w14:paraId="2DC10590" w14:textId="77777777" w:rsidR="0007367E" w:rsidRPr="000A455A" w:rsidRDefault="00627534" w:rsidP="00EA52BA">
      <w:pPr>
        <w:pStyle w:val="Rvps2"/>
        <w:shd w:val="clear" w:color="auto" w:fill="FFFFFF"/>
        <w:spacing w:before="0" w:after="120"/>
        <w:ind w:firstLine="567"/>
        <w:jc w:val="both"/>
        <w:rPr>
          <w:sz w:val="28"/>
          <w:szCs w:val="28"/>
        </w:rPr>
      </w:pPr>
      <w:r w:rsidRPr="00627534">
        <w:rPr>
          <w:bCs/>
          <w:sz w:val="28"/>
          <w:szCs w:val="28"/>
        </w:rPr>
        <w:t xml:space="preserve">Нарахований суб’єктом, </w:t>
      </w:r>
      <w:r w:rsidRPr="00627534">
        <w:rPr>
          <w:sz w:val="28"/>
          <w:szCs w:val="28"/>
        </w:rPr>
        <w:t>що здійснює</w:t>
      </w:r>
      <w:r w:rsidRPr="00627534">
        <w:rPr>
          <w:bCs/>
          <w:sz w:val="28"/>
          <w:szCs w:val="28"/>
        </w:rPr>
        <w:t xml:space="preserve"> </w:t>
      </w:r>
      <w:r w:rsidRPr="00627534">
        <w:rPr>
          <w:sz w:val="28"/>
          <w:szCs w:val="28"/>
        </w:rPr>
        <w:t>діяльність з випуску та проведення лотерей</w:t>
      </w:r>
      <w:r w:rsidRPr="00627534">
        <w:rPr>
          <w:bCs/>
          <w:sz w:val="28"/>
          <w:szCs w:val="28"/>
        </w:rPr>
        <w:t xml:space="preserve">, податок на дохід за ставкою, визначеною </w:t>
      </w:r>
      <w:r w:rsidRPr="00627534">
        <w:rPr>
          <w:sz w:val="28"/>
          <w:szCs w:val="28"/>
        </w:rPr>
        <w:t>в </w:t>
      </w:r>
      <w:r w:rsidRPr="00627534">
        <w:rPr>
          <w:rFonts w:eastAsiaTheme="majorEastAsia"/>
          <w:sz w:val="28"/>
          <w:szCs w:val="28"/>
        </w:rPr>
        <w:t>підпункті</w:t>
      </w:r>
      <w:r w:rsidRPr="00627534">
        <w:rPr>
          <w:rFonts w:eastAsiaTheme="majorEastAsia"/>
          <w:bCs/>
          <w:sz w:val="28"/>
          <w:szCs w:val="28"/>
        </w:rPr>
        <w:t xml:space="preserve"> </w:t>
      </w:r>
      <w:r w:rsidRPr="00627534">
        <w:rPr>
          <w:rFonts w:eastAsiaTheme="majorEastAsia"/>
          <w:sz w:val="28"/>
          <w:szCs w:val="28"/>
        </w:rPr>
        <w:t>136.4.4</w:t>
      </w:r>
      <w:r w:rsidRPr="00627534">
        <w:rPr>
          <w:rFonts w:eastAsiaTheme="majorEastAsia"/>
          <w:bCs/>
          <w:sz w:val="28"/>
          <w:szCs w:val="28"/>
        </w:rPr>
        <w:t xml:space="preserve"> </w:t>
      </w:r>
      <w:r w:rsidRPr="00627534">
        <w:rPr>
          <w:sz w:val="28"/>
          <w:szCs w:val="28"/>
        </w:rPr>
        <w:t>пункту 136.4</w:t>
      </w:r>
      <w:r w:rsidRPr="00627534">
        <w:rPr>
          <w:bCs/>
          <w:sz w:val="28"/>
          <w:szCs w:val="28"/>
        </w:rPr>
        <w:t xml:space="preserve"> статті 136 цьог</w:t>
      </w:r>
      <w:r w:rsidRPr="000A455A">
        <w:rPr>
          <w:bCs/>
          <w:sz w:val="28"/>
          <w:szCs w:val="28"/>
        </w:rPr>
        <w:t>о Кодексу, не є різницею та не зменшує фінансовий результат до оподаткування такого суб’єкта.</w:t>
      </w:r>
      <w:r w:rsidRPr="000A455A">
        <w:rPr>
          <w:sz w:val="28"/>
          <w:szCs w:val="28"/>
        </w:rPr>
        <w:t>».</w:t>
      </w:r>
    </w:p>
    <w:p w14:paraId="3EA6859C" w14:textId="04C1F5DA" w:rsidR="0007367E" w:rsidRPr="000A455A" w:rsidRDefault="0007367E" w:rsidP="00EA52BA">
      <w:pPr>
        <w:pStyle w:val="Rvps2"/>
        <w:numPr>
          <w:ilvl w:val="0"/>
          <w:numId w:val="18"/>
        </w:numPr>
        <w:shd w:val="clear" w:color="auto" w:fill="FFFFFF"/>
        <w:spacing w:before="0" w:after="120"/>
        <w:jc w:val="both"/>
        <w:rPr>
          <w:sz w:val="28"/>
          <w:szCs w:val="28"/>
        </w:rPr>
      </w:pPr>
      <w:r w:rsidRPr="000A455A">
        <w:rPr>
          <w:bCs/>
          <w:color w:val="000000"/>
          <w:sz w:val="28"/>
          <w:szCs w:val="28"/>
        </w:rPr>
        <w:t>Підпункт 164.2.8 пункту 164.2 статті 164 доповнити словами словами: «крім виграшів в азартних іграх та лотереях».</w:t>
      </w:r>
    </w:p>
    <w:p w14:paraId="2611D077" w14:textId="19EE3BAC" w:rsidR="00D91BF9" w:rsidRPr="000A455A" w:rsidRDefault="00D91BF9" w:rsidP="00EA52BA">
      <w:pPr>
        <w:pStyle w:val="Rvps2"/>
        <w:numPr>
          <w:ilvl w:val="0"/>
          <w:numId w:val="18"/>
        </w:numPr>
        <w:shd w:val="clear" w:color="auto" w:fill="FFFFFF"/>
        <w:spacing w:before="0" w:after="120"/>
        <w:jc w:val="both"/>
        <w:rPr>
          <w:sz w:val="28"/>
          <w:szCs w:val="28"/>
        </w:rPr>
      </w:pPr>
      <w:r w:rsidRPr="000A455A">
        <w:rPr>
          <w:bCs/>
          <w:color w:val="000000"/>
          <w:sz w:val="28"/>
          <w:szCs w:val="28"/>
        </w:rPr>
        <w:t>Пункт 165.1 статті 165 доповнити новим підпунктом такого змісту:</w:t>
      </w:r>
    </w:p>
    <w:p w14:paraId="14772167" w14:textId="0A7682F8" w:rsidR="00D91BF9" w:rsidRPr="000A455A" w:rsidRDefault="0007367E" w:rsidP="00EA52BA">
      <w:pPr>
        <w:shd w:val="clear" w:color="auto" w:fill="FFFFFF"/>
        <w:spacing w:after="120" w:line="240" w:lineRule="auto"/>
        <w:ind w:left="720" w:firstLine="709"/>
        <w:jc w:val="both"/>
        <w:rPr>
          <w:rFonts w:ascii="Times New Roman" w:eastAsia="Times New Roman" w:hAnsi="Times New Roman" w:cs="Times New Roman"/>
          <w:color w:val="000000"/>
          <w:sz w:val="28"/>
          <w:szCs w:val="28"/>
        </w:rPr>
      </w:pPr>
      <w:r w:rsidRPr="000A455A">
        <w:rPr>
          <w:rFonts w:ascii="Times New Roman" w:eastAsia="Times New Roman" w:hAnsi="Times New Roman" w:cs="Times New Roman"/>
          <w:color w:val="000000"/>
          <w:sz w:val="28"/>
          <w:szCs w:val="28"/>
        </w:rPr>
        <w:t>«165.1.62</w:t>
      </w:r>
      <w:r w:rsidR="00D91BF9" w:rsidRPr="000A455A">
        <w:rPr>
          <w:rFonts w:ascii="Times New Roman" w:eastAsia="Times New Roman" w:hAnsi="Times New Roman" w:cs="Times New Roman"/>
          <w:color w:val="000000"/>
          <w:sz w:val="28"/>
          <w:szCs w:val="28"/>
        </w:rPr>
        <w:t>. сума виграшів в азартних іграх</w:t>
      </w:r>
      <w:r w:rsidR="00182E5C" w:rsidRPr="000A455A">
        <w:rPr>
          <w:rFonts w:ascii="Times New Roman" w:eastAsia="Times New Roman" w:hAnsi="Times New Roman" w:cs="Times New Roman"/>
          <w:color w:val="000000"/>
          <w:sz w:val="28"/>
          <w:szCs w:val="28"/>
        </w:rPr>
        <w:t xml:space="preserve"> та</w:t>
      </w:r>
      <w:r w:rsidR="00175699" w:rsidRPr="000A455A">
        <w:rPr>
          <w:rFonts w:ascii="Times New Roman" w:eastAsia="Times New Roman" w:hAnsi="Times New Roman" w:cs="Times New Roman"/>
          <w:color w:val="000000"/>
          <w:sz w:val="28"/>
          <w:szCs w:val="28"/>
        </w:rPr>
        <w:t xml:space="preserve"> </w:t>
      </w:r>
      <w:r w:rsidRPr="000A455A">
        <w:rPr>
          <w:rFonts w:ascii="Times New Roman" w:eastAsia="Times New Roman" w:hAnsi="Times New Roman" w:cs="Times New Roman"/>
          <w:color w:val="000000"/>
          <w:sz w:val="28"/>
          <w:szCs w:val="28"/>
        </w:rPr>
        <w:t>лотереях»</w:t>
      </w:r>
      <w:r w:rsidR="00D91BF9" w:rsidRPr="000A455A">
        <w:rPr>
          <w:rFonts w:ascii="Times New Roman" w:eastAsia="Times New Roman" w:hAnsi="Times New Roman" w:cs="Times New Roman"/>
          <w:color w:val="000000"/>
          <w:sz w:val="28"/>
          <w:szCs w:val="28"/>
        </w:rPr>
        <w:t>.</w:t>
      </w:r>
    </w:p>
    <w:p w14:paraId="25C98062" w14:textId="77777777" w:rsidR="0007367E" w:rsidRPr="000A455A" w:rsidRDefault="00175699" w:rsidP="00EA52BA">
      <w:pPr>
        <w:pStyle w:val="a4"/>
        <w:numPr>
          <w:ilvl w:val="0"/>
          <w:numId w:val="18"/>
        </w:numPr>
        <w:shd w:val="clear" w:color="auto" w:fill="FFFFFF"/>
        <w:spacing w:after="120" w:line="240" w:lineRule="auto"/>
        <w:jc w:val="both"/>
        <w:rPr>
          <w:rFonts w:ascii="Times New Roman" w:eastAsia="Times New Roman" w:hAnsi="Times New Roman" w:cs="Times New Roman"/>
          <w:sz w:val="28"/>
          <w:szCs w:val="28"/>
        </w:rPr>
      </w:pPr>
      <w:r w:rsidRPr="000A455A">
        <w:rPr>
          <w:rFonts w:ascii="Times New Roman" w:eastAsia="Times New Roman" w:hAnsi="Times New Roman" w:cs="Times New Roman"/>
          <w:bCs/>
          <w:color w:val="000000"/>
          <w:sz w:val="28"/>
          <w:szCs w:val="28"/>
        </w:rPr>
        <w:t xml:space="preserve"> </w:t>
      </w:r>
      <w:r w:rsidR="0007367E" w:rsidRPr="000A455A">
        <w:rPr>
          <w:rFonts w:ascii="Times New Roman" w:eastAsia="Times New Roman" w:hAnsi="Times New Roman" w:cs="Times New Roman"/>
          <w:bCs/>
          <w:color w:val="000000"/>
          <w:sz w:val="28"/>
          <w:szCs w:val="28"/>
        </w:rPr>
        <w:t>у</w:t>
      </w:r>
      <w:r w:rsidR="00D91BF9" w:rsidRPr="000A455A">
        <w:rPr>
          <w:rFonts w:ascii="Times New Roman" w:eastAsia="Times New Roman" w:hAnsi="Times New Roman" w:cs="Times New Roman"/>
          <w:bCs/>
          <w:color w:val="000000"/>
          <w:sz w:val="28"/>
          <w:szCs w:val="28"/>
        </w:rPr>
        <w:t xml:space="preserve"> пункті 170.6 статті 170:</w:t>
      </w:r>
    </w:p>
    <w:p w14:paraId="1CFC1752" w14:textId="77777777" w:rsidR="0007367E" w:rsidRPr="000A455A" w:rsidRDefault="0007367E" w:rsidP="00EA52BA">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0A455A">
        <w:rPr>
          <w:rFonts w:ascii="Times New Roman" w:eastAsia="Times New Roman" w:hAnsi="Times New Roman" w:cs="Times New Roman"/>
          <w:bCs/>
          <w:color w:val="000000"/>
          <w:sz w:val="28"/>
          <w:szCs w:val="28"/>
        </w:rPr>
        <w:t>в абзаці першому додати слова: «крім виграшів(призів) в азартних іграх та лотереях»;</w:t>
      </w:r>
    </w:p>
    <w:p w14:paraId="65210D50" w14:textId="4EF15FFC" w:rsidR="0007367E" w:rsidRPr="000A455A" w:rsidRDefault="0007367E" w:rsidP="00EA52BA">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0A455A">
        <w:rPr>
          <w:rFonts w:ascii="Times New Roman" w:eastAsia="Times New Roman" w:hAnsi="Times New Roman" w:cs="Times New Roman"/>
          <w:bCs/>
          <w:color w:val="000000"/>
          <w:sz w:val="28"/>
          <w:szCs w:val="28"/>
        </w:rPr>
        <w:t>у підпункті 170.6.1. слова: «вигляді виграшів (призів) у лотерею чи в інші розіграші, у букмекерському парі, у парі тоталізатора» виключити;</w:t>
      </w:r>
    </w:p>
    <w:p w14:paraId="0B43BDB0" w14:textId="77777777" w:rsidR="00F16219" w:rsidRPr="000A455A" w:rsidRDefault="00F16219" w:rsidP="00EA52BA">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0A455A">
        <w:rPr>
          <w:rFonts w:ascii="Times New Roman" w:eastAsia="Times New Roman" w:hAnsi="Times New Roman" w:cs="Times New Roman"/>
          <w:bCs/>
          <w:color w:val="000000"/>
          <w:sz w:val="28"/>
          <w:szCs w:val="28"/>
        </w:rPr>
        <w:t>підпункт 170.6.2 виключити;</w:t>
      </w:r>
    </w:p>
    <w:p w14:paraId="43B36D45" w14:textId="77777777" w:rsidR="00F16219" w:rsidRPr="000A455A" w:rsidRDefault="00F1621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A455A">
        <w:rPr>
          <w:rFonts w:ascii="Times New Roman" w:eastAsia="Times New Roman" w:hAnsi="Times New Roman" w:cs="Times New Roman"/>
          <w:color w:val="000000"/>
          <w:sz w:val="28"/>
          <w:szCs w:val="28"/>
        </w:rPr>
        <w:t>у підпункті 170.6.3 слова «</w:t>
      </w:r>
      <w:r w:rsidR="00D91BF9" w:rsidRPr="000A455A">
        <w:rPr>
          <w:rFonts w:ascii="Times New Roman" w:eastAsia="Times New Roman" w:hAnsi="Times New Roman" w:cs="Times New Roman"/>
          <w:color w:val="000000"/>
          <w:sz w:val="28"/>
          <w:szCs w:val="28"/>
        </w:rPr>
        <w:t>вигра</w:t>
      </w:r>
      <w:r w:rsidR="008C1DE6" w:rsidRPr="000A455A">
        <w:rPr>
          <w:rFonts w:ascii="Times New Roman" w:eastAsia="Times New Roman" w:hAnsi="Times New Roman" w:cs="Times New Roman"/>
          <w:color w:val="000000"/>
          <w:sz w:val="28"/>
          <w:szCs w:val="28"/>
        </w:rPr>
        <w:t>шів</w:t>
      </w:r>
      <w:r w:rsidR="00D91BF9" w:rsidRPr="000A455A">
        <w:rPr>
          <w:rFonts w:ascii="Times New Roman" w:eastAsia="Times New Roman" w:hAnsi="Times New Roman" w:cs="Times New Roman"/>
          <w:color w:val="000000"/>
          <w:sz w:val="28"/>
          <w:szCs w:val="28"/>
        </w:rPr>
        <w:t xml:space="preserve"> </w:t>
      </w:r>
      <w:r w:rsidR="008C1DE6" w:rsidRPr="000A455A">
        <w:rPr>
          <w:rFonts w:ascii="Times New Roman" w:eastAsia="Times New Roman" w:hAnsi="Times New Roman" w:cs="Times New Roman"/>
          <w:color w:val="000000"/>
          <w:sz w:val="28"/>
          <w:szCs w:val="28"/>
        </w:rPr>
        <w:t>та призів, інших, ніж виграш (приз) у лотерею</w:t>
      </w:r>
      <w:r w:rsidRPr="000A455A">
        <w:rPr>
          <w:rFonts w:ascii="Times New Roman" w:eastAsia="Times New Roman" w:hAnsi="Times New Roman" w:cs="Times New Roman"/>
          <w:color w:val="000000"/>
          <w:sz w:val="28"/>
          <w:szCs w:val="28"/>
        </w:rPr>
        <w:t>»</w:t>
      </w:r>
      <w:r w:rsidR="008C1DE6" w:rsidRPr="000A455A">
        <w:rPr>
          <w:rFonts w:ascii="Times New Roman" w:eastAsia="Times New Roman" w:hAnsi="Times New Roman" w:cs="Times New Roman"/>
          <w:color w:val="000000"/>
          <w:sz w:val="28"/>
          <w:szCs w:val="28"/>
        </w:rPr>
        <w:t xml:space="preserve"> замінити словами «</w:t>
      </w:r>
      <w:r w:rsidRPr="000A455A">
        <w:rPr>
          <w:rFonts w:ascii="Times New Roman" w:eastAsia="Times New Roman" w:hAnsi="Times New Roman" w:cs="Times New Roman"/>
          <w:color w:val="000000"/>
          <w:sz w:val="28"/>
          <w:szCs w:val="28"/>
        </w:rPr>
        <w:t>виграшів та призів, крім виграшів (призів) в азартних іграх та лотереях</w:t>
      </w:r>
      <w:r w:rsidR="008C1DE6" w:rsidRPr="000A455A">
        <w:rPr>
          <w:rFonts w:ascii="Times New Roman" w:eastAsia="Times New Roman" w:hAnsi="Times New Roman" w:cs="Times New Roman"/>
          <w:color w:val="000000"/>
          <w:sz w:val="28"/>
          <w:szCs w:val="28"/>
        </w:rPr>
        <w:t>»</w:t>
      </w:r>
      <w:r w:rsidR="00D91BF9" w:rsidRPr="000A455A">
        <w:rPr>
          <w:rFonts w:ascii="Times New Roman" w:eastAsia="Times New Roman" w:hAnsi="Times New Roman" w:cs="Times New Roman"/>
          <w:color w:val="000000"/>
          <w:sz w:val="28"/>
          <w:szCs w:val="28"/>
        </w:rPr>
        <w:t>;</w:t>
      </w:r>
    </w:p>
    <w:p w14:paraId="22EF6A56" w14:textId="2719ECB1" w:rsidR="00D91BF9" w:rsidRPr="000A455A" w:rsidRDefault="00D91BF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A455A">
        <w:rPr>
          <w:rFonts w:ascii="Times New Roman" w:eastAsia="Times New Roman" w:hAnsi="Times New Roman" w:cs="Times New Roman"/>
          <w:color w:val="000000"/>
          <w:sz w:val="28"/>
          <w:szCs w:val="28"/>
        </w:rPr>
        <w:t>підпункт</w:t>
      </w:r>
      <w:r w:rsidR="00F16219" w:rsidRPr="000A455A">
        <w:rPr>
          <w:rFonts w:ascii="Times New Roman" w:eastAsia="Times New Roman" w:hAnsi="Times New Roman" w:cs="Times New Roman"/>
          <w:color w:val="000000"/>
          <w:sz w:val="28"/>
          <w:szCs w:val="28"/>
        </w:rPr>
        <w:t>и</w:t>
      </w:r>
      <w:r w:rsidRPr="000A455A">
        <w:rPr>
          <w:rFonts w:ascii="Times New Roman" w:eastAsia="Times New Roman" w:hAnsi="Times New Roman" w:cs="Times New Roman"/>
          <w:color w:val="000000"/>
          <w:sz w:val="28"/>
          <w:szCs w:val="28"/>
        </w:rPr>
        <w:t xml:space="preserve"> 170.6.4 </w:t>
      </w:r>
      <w:r w:rsidR="00F16219" w:rsidRPr="000A455A">
        <w:rPr>
          <w:rFonts w:ascii="Times New Roman" w:eastAsia="Times New Roman" w:hAnsi="Times New Roman" w:cs="Times New Roman"/>
          <w:color w:val="000000"/>
          <w:sz w:val="28"/>
          <w:szCs w:val="28"/>
        </w:rPr>
        <w:t xml:space="preserve">та 170.6.5 </w:t>
      </w:r>
      <w:r w:rsidRPr="000A455A">
        <w:rPr>
          <w:rFonts w:ascii="Times New Roman" w:eastAsia="Times New Roman" w:hAnsi="Times New Roman" w:cs="Times New Roman"/>
          <w:color w:val="000000"/>
          <w:sz w:val="28"/>
          <w:szCs w:val="28"/>
        </w:rPr>
        <w:t>викласти у такій редакції:</w:t>
      </w:r>
    </w:p>
    <w:p w14:paraId="7050BF5E" w14:textId="3722FE77" w:rsidR="00F16219" w:rsidRPr="00F16219" w:rsidRDefault="00F1621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A455A">
        <w:rPr>
          <w:rFonts w:ascii="Times New Roman" w:eastAsia="Times New Roman" w:hAnsi="Times New Roman" w:cs="Times New Roman"/>
          <w:color w:val="000000"/>
          <w:sz w:val="28"/>
          <w:szCs w:val="28"/>
        </w:rPr>
        <w:t>«170.6.4. Під час нарахування</w:t>
      </w:r>
      <w:r w:rsidRPr="00F16219">
        <w:rPr>
          <w:rFonts w:ascii="Times New Roman" w:eastAsia="Times New Roman" w:hAnsi="Times New Roman" w:cs="Times New Roman"/>
          <w:color w:val="000000"/>
          <w:sz w:val="28"/>
          <w:szCs w:val="28"/>
        </w:rPr>
        <w:t xml:space="preserve"> (виплати) доходів, порядок оподаткування яких встановлено підпунктом  170.6.3 цього пункту, витрати платника податку у зв’язку з отриманням такого доходу (у тому числі по’вязані з придбанням  права на участь у розіграшах, змаганнях)  не враховуються.</w:t>
      </w:r>
    </w:p>
    <w:p w14:paraId="31C49108" w14:textId="07523FF3" w:rsidR="00F16219" w:rsidRDefault="00F16219" w:rsidP="00EA52BA">
      <w:pPr>
        <w:pStyle w:val="Rvps2"/>
        <w:shd w:val="clear" w:color="auto" w:fill="FFFFFF"/>
        <w:spacing w:before="0" w:after="120"/>
        <w:ind w:firstLine="567"/>
        <w:jc w:val="both"/>
        <w:rPr>
          <w:color w:val="000000"/>
          <w:sz w:val="28"/>
          <w:szCs w:val="28"/>
        </w:rPr>
      </w:pPr>
      <w:r w:rsidRPr="00F16219">
        <w:rPr>
          <w:color w:val="000000"/>
          <w:sz w:val="28"/>
          <w:szCs w:val="28"/>
        </w:rPr>
        <w:lastRenderedPageBreak/>
        <w:t>170.6.5. Доходи, зазначені у цьому пункті, крім виграшів (призів) в азартних іграх та лотереях остаточно оподатковуються під час їх виплати за їх рахунок.</w:t>
      </w:r>
      <w:r>
        <w:rPr>
          <w:color w:val="000000"/>
          <w:sz w:val="28"/>
          <w:szCs w:val="28"/>
        </w:rPr>
        <w:t>»</w:t>
      </w:r>
      <w:r w:rsidR="000A455A">
        <w:rPr>
          <w:color w:val="000000"/>
          <w:sz w:val="28"/>
          <w:szCs w:val="28"/>
        </w:rPr>
        <w:t>.</w:t>
      </w:r>
    </w:p>
    <w:p w14:paraId="1277AE4A" w14:textId="09B68E74" w:rsidR="00D91BF9" w:rsidRPr="00070EE1" w:rsidRDefault="000A455A" w:rsidP="00EA52BA">
      <w:pPr>
        <w:pStyle w:val="Rvps2"/>
        <w:shd w:val="clear" w:color="auto" w:fill="FFFFFF"/>
        <w:spacing w:before="0" w:after="120"/>
        <w:ind w:firstLine="567"/>
        <w:jc w:val="both"/>
        <w:rPr>
          <w:bCs/>
          <w:color w:val="000000"/>
          <w:sz w:val="28"/>
          <w:szCs w:val="28"/>
        </w:rPr>
      </w:pPr>
      <w:r>
        <w:rPr>
          <w:color w:val="000000"/>
          <w:sz w:val="28"/>
          <w:szCs w:val="28"/>
        </w:rPr>
        <w:t>10</w:t>
      </w:r>
      <w:r w:rsidRPr="000A455A">
        <w:rPr>
          <w:color w:val="000000"/>
          <w:sz w:val="28"/>
          <w:szCs w:val="28"/>
        </w:rPr>
        <w:t xml:space="preserve">. </w:t>
      </w:r>
      <w:r w:rsidR="00D91BF9" w:rsidRPr="000A455A">
        <w:rPr>
          <w:bCs/>
          <w:color w:val="000000"/>
          <w:sz w:val="28"/>
          <w:szCs w:val="28"/>
        </w:rPr>
        <w:t> У</w:t>
      </w:r>
      <w:r w:rsidRPr="000A455A">
        <w:rPr>
          <w:bCs/>
          <w:color w:val="000000"/>
          <w:sz w:val="28"/>
          <w:szCs w:val="28"/>
        </w:rPr>
        <w:t xml:space="preserve"> пункті 197.6 статті 197 слова «проведення лотерей» замінити словами «</w:t>
      </w:r>
      <w:r w:rsidRPr="000A455A">
        <w:rPr>
          <w:sz w:val="28"/>
          <w:szCs w:val="28"/>
        </w:rPr>
        <w:t xml:space="preserve">діяльності з організації та проведення азартних ігор та діяльності з випуску </w:t>
      </w:r>
      <w:r w:rsidRPr="00070EE1">
        <w:rPr>
          <w:sz w:val="28"/>
          <w:szCs w:val="28"/>
        </w:rPr>
        <w:t xml:space="preserve">та проведення лотерей,  </w:t>
      </w:r>
      <w:r w:rsidRPr="00070EE1">
        <w:rPr>
          <w:bCs/>
          <w:color w:val="000000"/>
          <w:sz w:val="28"/>
          <w:szCs w:val="28"/>
        </w:rPr>
        <w:t>»</w:t>
      </w:r>
      <w:r w:rsidR="00D91BF9" w:rsidRPr="00070EE1">
        <w:rPr>
          <w:bCs/>
          <w:color w:val="000000"/>
          <w:sz w:val="28"/>
          <w:szCs w:val="28"/>
        </w:rPr>
        <w:t>.</w:t>
      </w:r>
    </w:p>
    <w:p w14:paraId="2BF70F41" w14:textId="5F45BCD4" w:rsidR="00D91BF9" w:rsidRPr="00070EE1" w:rsidRDefault="00070EE1" w:rsidP="00EA52BA">
      <w:pPr>
        <w:pStyle w:val="Rvps2"/>
        <w:shd w:val="clear" w:color="auto" w:fill="FFFFFF"/>
        <w:spacing w:before="0" w:after="120"/>
        <w:ind w:firstLine="567"/>
        <w:jc w:val="both"/>
        <w:rPr>
          <w:bCs/>
          <w:color w:val="000000"/>
          <w:sz w:val="28"/>
          <w:szCs w:val="28"/>
        </w:rPr>
      </w:pPr>
      <w:r w:rsidRPr="00070EE1">
        <w:rPr>
          <w:bCs/>
          <w:color w:val="000000"/>
          <w:sz w:val="28"/>
          <w:szCs w:val="28"/>
        </w:rPr>
        <w:t>11.</w:t>
      </w:r>
      <w:r w:rsidR="00175699" w:rsidRPr="00070EE1">
        <w:rPr>
          <w:bCs/>
          <w:color w:val="000000"/>
          <w:sz w:val="28"/>
          <w:szCs w:val="28"/>
        </w:rPr>
        <w:t xml:space="preserve"> </w:t>
      </w:r>
      <w:r w:rsidR="00D91BF9" w:rsidRPr="00070EE1">
        <w:rPr>
          <w:bCs/>
          <w:color w:val="000000"/>
          <w:sz w:val="28"/>
          <w:szCs w:val="28"/>
        </w:rPr>
        <w:t xml:space="preserve">Підпункт </w:t>
      </w:r>
      <w:r w:rsidR="00525F7E" w:rsidRPr="00070EE1">
        <w:rPr>
          <w:bCs/>
          <w:color w:val="000000"/>
          <w:sz w:val="28"/>
          <w:szCs w:val="28"/>
        </w:rPr>
        <w:t>1</w:t>
      </w:r>
      <w:r w:rsidR="00D91BF9" w:rsidRPr="00070EE1">
        <w:rPr>
          <w:bCs/>
          <w:color w:val="000000"/>
          <w:sz w:val="28"/>
          <w:szCs w:val="28"/>
        </w:rPr>
        <w:t xml:space="preserve"> підпункту 291.5.1 пункту 291.5 статті 291 викласти в такій редакції:</w:t>
      </w:r>
    </w:p>
    <w:p w14:paraId="116A078F" w14:textId="37F28A39" w:rsidR="00070EE1" w:rsidRPr="00070EE1" w:rsidRDefault="00070EE1" w:rsidP="00EA52BA">
      <w:pPr>
        <w:pStyle w:val="Rvps2"/>
        <w:shd w:val="clear" w:color="auto" w:fill="FFFFFF"/>
        <w:spacing w:before="0" w:after="120"/>
        <w:ind w:firstLine="567"/>
        <w:jc w:val="both"/>
        <w:rPr>
          <w:sz w:val="28"/>
          <w:szCs w:val="28"/>
        </w:rPr>
      </w:pPr>
      <w:r w:rsidRPr="00070EE1">
        <w:rPr>
          <w:bCs/>
          <w:color w:val="000000"/>
          <w:sz w:val="28"/>
          <w:szCs w:val="28"/>
        </w:rPr>
        <w:t>«</w:t>
      </w:r>
      <w:r w:rsidRPr="00070EE1">
        <w:rPr>
          <w:sz w:val="28"/>
          <w:szCs w:val="28"/>
        </w:rPr>
        <w:t>1) діяльність з організації та проведення азартних ігор та/ або діяльність з випуску та проведення лотерей (крім розповсюдження лотерей);».</w:t>
      </w:r>
    </w:p>
    <w:p w14:paraId="79F2632A" w14:textId="77777777" w:rsidR="00070EE1" w:rsidRPr="00070EE1" w:rsidRDefault="00070EE1" w:rsidP="00EA52BA">
      <w:pPr>
        <w:pStyle w:val="Rvps2"/>
        <w:shd w:val="clear" w:color="auto" w:fill="FFFFFF"/>
        <w:spacing w:before="0" w:after="120"/>
        <w:ind w:firstLine="567"/>
        <w:jc w:val="both"/>
        <w:rPr>
          <w:bCs/>
          <w:color w:val="000000"/>
          <w:sz w:val="28"/>
          <w:szCs w:val="28"/>
        </w:rPr>
      </w:pPr>
      <w:r>
        <w:rPr>
          <w:sz w:val="28"/>
          <w:szCs w:val="28"/>
        </w:rPr>
        <w:t>12</w:t>
      </w:r>
      <w:r w:rsidRPr="00070EE1">
        <w:rPr>
          <w:sz w:val="28"/>
          <w:szCs w:val="28"/>
        </w:rPr>
        <w:t xml:space="preserve">. У </w:t>
      </w:r>
      <w:r w:rsidRPr="00070EE1">
        <w:rPr>
          <w:bCs/>
          <w:color w:val="000000"/>
          <w:sz w:val="28"/>
          <w:szCs w:val="28"/>
        </w:rPr>
        <w:t>підрозділі 4 Розділу XX «Перехідні положення»:</w:t>
      </w:r>
    </w:p>
    <w:p w14:paraId="723CCFE5" w14:textId="5EB5F632" w:rsidR="00D91BF9" w:rsidRPr="00070EE1" w:rsidRDefault="00070EE1" w:rsidP="00EA52BA">
      <w:pPr>
        <w:pStyle w:val="Rvps2"/>
        <w:shd w:val="clear" w:color="auto" w:fill="FFFFFF"/>
        <w:spacing w:before="0" w:after="120"/>
        <w:ind w:firstLine="567"/>
        <w:jc w:val="both"/>
        <w:rPr>
          <w:bCs/>
          <w:color w:val="000000"/>
          <w:sz w:val="28"/>
          <w:szCs w:val="28"/>
        </w:rPr>
      </w:pPr>
      <w:r w:rsidRPr="00070EE1">
        <w:rPr>
          <w:bCs/>
          <w:color w:val="000000"/>
          <w:sz w:val="28"/>
          <w:szCs w:val="28"/>
        </w:rPr>
        <w:t>п</w:t>
      </w:r>
      <w:r w:rsidR="00D91BF9" w:rsidRPr="00070EE1">
        <w:rPr>
          <w:bCs/>
          <w:color w:val="000000"/>
          <w:sz w:val="28"/>
          <w:szCs w:val="28"/>
        </w:rPr>
        <w:t xml:space="preserve">ункт 48 </w:t>
      </w:r>
      <w:r w:rsidRPr="00070EE1">
        <w:rPr>
          <w:bCs/>
          <w:color w:val="000000"/>
          <w:sz w:val="28"/>
          <w:szCs w:val="28"/>
        </w:rPr>
        <w:t>виключити;</w:t>
      </w:r>
    </w:p>
    <w:p w14:paraId="0C8CB367" w14:textId="77777777" w:rsidR="00070EE1" w:rsidRPr="00070EE1" w:rsidRDefault="00070EE1" w:rsidP="00EA52BA">
      <w:pPr>
        <w:pStyle w:val="Rvps2"/>
        <w:shd w:val="clear" w:color="auto" w:fill="FFFFFF"/>
        <w:spacing w:before="0" w:after="120"/>
        <w:ind w:firstLine="567"/>
        <w:jc w:val="both"/>
        <w:rPr>
          <w:bCs/>
          <w:color w:val="000000"/>
          <w:sz w:val="28"/>
          <w:szCs w:val="28"/>
        </w:rPr>
      </w:pPr>
      <w:r w:rsidRPr="00070EE1">
        <w:rPr>
          <w:bCs/>
          <w:color w:val="000000"/>
          <w:sz w:val="28"/>
          <w:szCs w:val="28"/>
        </w:rPr>
        <w:t>доповнити пунктом 48</w:t>
      </w:r>
      <w:r w:rsidRPr="00070EE1">
        <w:rPr>
          <w:bCs/>
          <w:color w:val="000000"/>
          <w:sz w:val="28"/>
          <w:szCs w:val="28"/>
          <w:vertAlign w:val="superscript"/>
        </w:rPr>
        <w:t xml:space="preserve">1 </w:t>
      </w:r>
      <w:r w:rsidRPr="00070EE1">
        <w:rPr>
          <w:bCs/>
          <w:color w:val="000000"/>
          <w:sz w:val="28"/>
          <w:szCs w:val="28"/>
        </w:rPr>
        <w:t>такого змісту:</w:t>
      </w:r>
    </w:p>
    <w:p w14:paraId="065A45AB" w14:textId="4EE8608D" w:rsidR="00D91BF9" w:rsidRPr="00070EE1" w:rsidRDefault="00070EE1" w:rsidP="00EA52BA">
      <w:pPr>
        <w:pStyle w:val="Rvps2"/>
        <w:shd w:val="clear" w:color="auto" w:fill="FFFFFF"/>
        <w:spacing w:before="0" w:after="120"/>
        <w:ind w:firstLine="567"/>
        <w:jc w:val="both"/>
        <w:rPr>
          <w:sz w:val="28"/>
          <w:szCs w:val="28"/>
        </w:rPr>
      </w:pPr>
      <w:r w:rsidRPr="00070EE1">
        <w:rPr>
          <w:bCs/>
          <w:color w:val="000000"/>
          <w:sz w:val="28"/>
          <w:szCs w:val="28"/>
        </w:rPr>
        <w:t>«</w:t>
      </w:r>
      <w:r w:rsidRPr="00070EE1">
        <w:rPr>
          <w:sz w:val="28"/>
          <w:szCs w:val="28"/>
        </w:rPr>
        <w:t>48</w:t>
      </w:r>
      <w:r w:rsidRPr="00070EE1">
        <w:rPr>
          <w:sz w:val="28"/>
          <w:szCs w:val="28"/>
          <w:vertAlign w:val="superscript"/>
        </w:rPr>
        <w:t>1</w:t>
      </w:r>
      <w:r w:rsidRPr="00070EE1">
        <w:rPr>
          <w:sz w:val="28"/>
          <w:szCs w:val="28"/>
        </w:rPr>
        <w:t xml:space="preserve">. Установити, що до 01 січня 2024 року, але не раніше моменту створення державної системи онлайн моніторингу відповідно до закону України “Про державне регулювання діяльності щодо організації та проведення азартних ігор“, ставки податку, визначені  підпунктами 136.4.1 - </w:t>
      </w:r>
      <w:r w:rsidR="00517989" w:rsidRPr="00517989">
        <w:rPr>
          <w:sz w:val="28"/>
          <w:szCs w:val="28"/>
        </w:rPr>
        <w:t>1</w:t>
      </w:r>
      <w:bookmarkStart w:id="2" w:name="_GoBack"/>
      <w:bookmarkEnd w:id="2"/>
      <w:r w:rsidRPr="00070EE1">
        <w:rPr>
          <w:sz w:val="28"/>
          <w:szCs w:val="28"/>
        </w:rPr>
        <w:t xml:space="preserve">36.4.3 пункту 136.4 статті 136 цього Кодексу становлять 0 відсотків.». </w:t>
      </w:r>
    </w:p>
    <w:p w14:paraId="502F75C1" w14:textId="4549F194"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ІІ. Прикінцеві положення</w:t>
      </w:r>
    </w:p>
    <w:p w14:paraId="47C555A3" w14:textId="77777777" w:rsidR="00D91BF9" w:rsidRPr="00D91BF9" w:rsidRDefault="001D14BC" w:rsidP="00EA52BA">
      <w:pPr>
        <w:numPr>
          <w:ilvl w:val="0"/>
          <w:numId w:val="16"/>
        </w:numPr>
        <w:shd w:val="clear" w:color="auto" w:fill="FFFFFF"/>
        <w:tabs>
          <w:tab w:val="clear" w:pos="720"/>
          <w:tab w:val="num" w:pos="709"/>
        </w:tabs>
        <w:spacing w:after="120" w:line="240" w:lineRule="auto"/>
        <w:ind w:left="0"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D91BF9" w:rsidRPr="00D91BF9">
        <w:rPr>
          <w:rFonts w:ascii="Times New Roman" w:eastAsia="Times New Roman" w:hAnsi="Times New Roman" w:cs="Times New Roman"/>
          <w:color w:val="000000"/>
          <w:sz w:val="28"/>
          <w:szCs w:val="28"/>
        </w:rPr>
        <w:t>Цей Закон набирає чинності з дня, наступного за днем його опублікування.</w:t>
      </w:r>
    </w:p>
    <w:p w14:paraId="787336F6" w14:textId="77777777" w:rsidR="00D91BF9" w:rsidRPr="00D91BF9" w:rsidRDefault="00D91BF9" w:rsidP="00EA52BA">
      <w:pPr>
        <w:numPr>
          <w:ilvl w:val="0"/>
          <w:numId w:val="16"/>
        </w:numPr>
        <w:shd w:val="clear" w:color="auto" w:fill="FFFFFF"/>
        <w:tabs>
          <w:tab w:val="clear" w:pos="720"/>
          <w:tab w:val="num" w:pos="709"/>
        </w:tabs>
        <w:spacing w:after="120" w:line="240" w:lineRule="auto"/>
        <w:ind w:left="0" w:firstLine="709"/>
        <w:jc w:val="both"/>
        <w:textAlignment w:val="baseline"/>
        <w:rPr>
          <w:rFonts w:ascii="Times New Roman" w:eastAsia="Times New Roman" w:hAnsi="Times New Roman" w:cs="Times New Roman"/>
          <w:color w:val="000000"/>
          <w:sz w:val="28"/>
          <w:szCs w:val="28"/>
        </w:rPr>
      </w:pPr>
      <w:r w:rsidRPr="00D91BF9">
        <w:rPr>
          <w:rFonts w:ascii="Times New Roman" w:eastAsia="Times New Roman" w:hAnsi="Times New Roman" w:cs="Times New Roman"/>
          <w:color w:val="000000"/>
          <w:sz w:val="28"/>
          <w:szCs w:val="28"/>
        </w:rPr>
        <w:t>Кабінету Міністрів України у тримісячний строк привести свої нормативно-правові акти у відповідність з цим Законом.</w:t>
      </w:r>
    </w:p>
    <w:p w14:paraId="4DFFA62F" w14:textId="1C43E1A2"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sz w:val="24"/>
          <w:szCs w:val="24"/>
        </w:rPr>
        <w:t> </w:t>
      </w:r>
    </w:p>
    <w:p w14:paraId="63972C2B" w14:textId="77777777"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Голова Верховної Ради </w:t>
      </w:r>
    </w:p>
    <w:p w14:paraId="71F70E70" w14:textId="1570AD5F" w:rsidR="00F0321D" w:rsidRPr="00EA52BA" w:rsidRDefault="00D91BF9" w:rsidP="00EA52BA">
      <w:pPr>
        <w:shd w:val="clear" w:color="auto" w:fill="FFFFFF"/>
        <w:spacing w:after="120" w:line="36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України</w:t>
      </w:r>
    </w:p>
    <w:sectPr w:rsidR="00F0321D" w:rsidRPr="00EA52B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A0C06" w14:textId="77777777" w:rsidR="0045119F" w:rsidRDefault="0045119F" w:rsidP="000621ED">
      <w:pPr>
        <w:spacing w:after="0" w:line="240" w:lineRule="auto"/>
      </w:pPr>
      <w:r>
        <w:separator/>
      </w:r>
    </w:p>
  </w:endnote>
  <w:endnote w:type="continuationSeparator" w:id="0">
    <w:p w14:paraId="21F22F86" w14:textId="77777777" w:rsidR="0045119F" w:rsidRDefault="0045119F" w:rsidP="0006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572296"/>
      <w:docPartObj>
        <w:docPartGallery w:val="Page Numbers (Bottom of Page)"/>
        <w:docPartUnique/>
      </w:docPartObj>
    </w:sdtPr>
    <w:sdtEndPr/>
    <w:sdtContent>
      <w:p w14:paraId="280CC8E2" w14:textId="3CD3E685" w:rsidR="000621ED" w:rsidRDefault="000621ED">
        <w:pPr>
          <w:pStyle w:val="a7"/>
          <w:jc w:val="right"/>
        </w:pPr>
        <w:r>
          <w:fldChar w:fldCharType="begin"/>
        </w:r>
        <w:r>
          <w:instrText>PAGE   \* MERGEFORMAT</w:instrText>
        </w:r>
        <w:r>
          <w:fldChar w:fldCharType="separate"/>
        </w:r>
        <w:r w:rsidR="00517989" w:rsidRPr="00517989">
          <w:rPr>
            <w:noProof/>
            <w:lang w:val="ru-RU"/>
          </w:rPr>
          <w:t>4</w:t>
        </w:r>
        <w:r>
          <w:fldChar w:fldCharType="end"/>
        </w:r>
      </w:p>
    </w:sdtContent>
  </w:sdt>
  <w:p w14:paraId="30D261D2" w14:textId="77777777" w:rsidR="000621ED" w:rsidRDefault="000621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95512" w14:textId="77777777" w:rsidR="0045119F" w:rsidRDefault="0045119F" w:rsidP="000621ED">
      <w:pPr>
        <w:spacing w:after="0" w:line="240" w:lineRule="auto"/>
      </w:pPr>
      <w:r>
        <w:separator/>
      </w:r>
    </w:p>
  </w:footnote>
  <w:footnote w:type="continuationSeparator" w:id="0">
    <w:p w14:paraId="5B4B5A81" w14:textId="77777777" w:rsidR="0045119F" w:rsidRDefault="0045119F" w:rsidP="0006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60"/>
    <w:multiLevelType w:val="multilevel"/>
    <w:tmpl w:val="55F073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D1157"/>
    <w:multiLevelType w:val="multilevel"/>
    <w:tmpl w:val="EFDC8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C56C5"/>
    <w:multiLevelType w:val="multilevel"/>
    <w:tmpl w:val="F16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508F4"/>
    <w:multiLevelType w:val="multilevel"/>
    <w:tmpl w:val="C5946AC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37A0C"/>
    <w:multiLevelType w:val="hybridMultilevel"/>
    <w:tmpl w:val="74FA1754"/>
    <w:lvl w:ilvl="0" w:tplc="0A8E2A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93B704B"/>
    <w:multiLevelType w:val="multilevel"/>
    <w:tmpl w:val="9D52D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DA39BC"/>
    <w:multiLevelType w:val="multilevel"/>
    <w:tmpl w:val="4FC213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B64F3"/>
    <w:multiLevelType w:val="multilevel"/>
    <w:tmpl w:val="F13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1F0856"/>
    <w:multiLevelType w:val="multilevel"/>
    <w:tmpl w:val="DDEEA2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352E09"/>
    <w:multiLevelType w:val="multilevel"/>
    <w:tmpl w:val="8B280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1C7F5B"/>
    <w:multiLevelType w:val="multilevel"/>
    <w:tmpl w:val="4378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602FE8"/>
    <w:multiLevelType w:val="multilevel"/>
    <w:tmpl w:val="34B2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9A7AC5"/>
    <w:multiLevelType w:val="multilevel"/>
    <w:tmpl w:val="45F431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4A13AD"/>
    <w:multiLevelType w:val="multilevel"/>
    <w:tmpl w:val="129C3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45D03"/>
    <w:multiLevelType w:val="multilevel"/>
    <w:tmpl w:val="098CA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2C3CEA"/>
    <w:multiLevelType w:val="hybridMultilevel"/>
    <w:tmpl w:val="25A214C6"/>
    <w:lvl w:ilvl="0" w:tplc="7A8857C2">
      <w:start w:val="4"/>
      <w:numFmt w:val="decimal"/>
      <w:lvlText w:val="%1."/>
      <w:lvlJc w:val="left"/>
      <w:pPr>
        <w:ind w:left="644" w:hanging="360"/>
      </w:pPr>
      <w:rPr>
        <w:rFonts w:hint="default"/>
      </w:rPr>
    </w:lvl>
    <w:lvl w:ilvl="1" w:tplc="20000019" w:tentative="1">
      <w:start w:val="1"/>
      <w:numFmt w:val="lowerLetter"/>
      <w:lvlText w:val="%2."/>
      <w:lvlJc w:val="left"/>
      <w:pPr>
        <w:ind w:left="1704" w:hanging="360"/>
      </w:pPr>
    </w:lvl>
    <w:lvl w:ilvl="2" w:tplc="2000001B" w:tentative="1">
      <w:start w:val="1"/>
      <w:numFmt w:val="lowerRoman"/>
      <w:lvlText w:val="%3."/>
      <w:lvlJc w:val="right"/>
      <w:pPr>
        <w:ind w:left="2424" w:hanging="180"/>
      </w:pPr>
    </w:lvl>
    <w:lvl w:ilvl="3" w:tplc="2000000F" w:tentative="1">
      <w:start w:val="1"/>
      <w:numFmt w:val="decimal"/>
      <w:lvlText w:val="%4."/>
      <w:lvlJc w:val="left"/>
      <w:pPr>
        <w:ind w:left="3144" w:hanging="360"/>
      </w:pPr>
    </w:lvl>
    <w:lvl w:ilvl="4" w:tplc="20000019" w:tentative="1">
      <w:start w:val="1"/>
      <w:numFmt w:val="lowerLetter"/>
      <w:lvlText w:val="%5."/>
      <w:lvlJc w:val="left"/>
      <w:pPr>
        <w:ind w:left="3864" w:hanging="360"/>
      </w:pPr>
    </w:lvl>
    <w:lvl w:ilvl="5" w:tplc="2000001B" w:tentative="1">
      <w:start w:val="1"/>
      <w:numFmt w:val="lowerRoman"/>
      <w:lvlText w:val="%6."/>
      <w:lvlJc w:val="right"/>
      <w:pPr>
        <w:ind w:left="4584" w:hanging="180"/>
      </w:pPr>
    </w:lvl>
    <w:lvl w:ilvl="6" w:tplc="2000000F" w:tentative="1">
      <w:start w:val="1"/>
      <w:numFmt w:val="decimal"/>
      <w:lvlText w:val="%7."/>
      <w:lvlJc w:val="left"/>
      <w:pPr>
        <w:ind w:left="5304" w:hanging="360"/>
      </w:pPr>
    </w:lvl>
    <w:lvl w:ilvl="7" w:tplc="20000019" w:tentative="1">
      <w:start w:val="1"/>
      <w:numFmt w:val="lowerLetter"/>
      <w:lvlText w:val="%8."/>
      <w:lvlJc w:val="left"/>
      <w:pPr>
        <w:ind w:left="6024" w:hanging="360"/>
      </w:pPr>
    </w:lvl>
    <w:lvl w:ilvl="8" w:tplc="2000001B" w:tentative="1">
      <w:start w:val="1"/>
      <w:numFmt w:val="lowerRoman"/>
      <w:lvlText w:val="%9."/>
      <w:lvlJc w:val="right"/>
      <w:pPr>
        <w:ind w:left="6744" w:hanging="180"/>
      </w:pPr>
    </w:lvl>
  </w:abstractNum>
  <w:abstractNum w:abstractNumId="16" w15:restartNumberingAfterBreak="0">
    <w:nsid w:val="7D574EDC"/>
    <w:multiLevelType w:val="multilevel"/>
    <w:tmpl w:val="46A47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5"/>
    <w:lvlOverride w:ilvl="0">
      <w:lvl w:ilvl="0">
        <w:numFmt w:val="decimal"/>
        <w:lvlText w:val="%1."/>
        <w:lvlJc w:val="left"/>
      </w:lvl>
    </w:lvlOverride>
  </w:num>
  <w:num w:numId="4">
    <w:abstractNumId w:val="1"/>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0"/>
    <w:lvlOverride w:ilvl="0">
      <w:lvl w:ilvl="0">
        <w:numFmt w:val="decimal"/>
        <w:lvlText w:val="%1."/>
        <w:lvlJc w:val="left"/>
      </w:lvl>
    </w:lvlOverride>
  </w:num>
  <w:num w:numId="7">
    <w:abstractNumId w:val="9"/>
    <w:lvlOverride w:ilvl="0">
      <w:lvl w:ilvl="0">
        <w:numFmt w:val="decimal"/>
        <w:lvlText w:val="%1."/>
        <w:lvlJc w:val="left"/>
      </w:lvl>
    </w:lvlOverride>
  </w:num>
  <w:num w:numId="8">
    <w:abstractNumId w:val="9"/>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4"/>
    <w:lvlOverride w:ilvl="0">
      <w:lvl w:ilvl="0">
        <w:numFmt w:val="decimal"/>
        <w:lvlText w:val="%1."/>
        <w:lvlJc w:val="left"/>
      </w:lvl>
    </w:lvlOverride>
  </w:num>
  <w:num w:numId="11">
    <w:abstractNumId w:val="8"/>
    <w:lvlOverride w:ilvl="0">
      <w:lvl w:ilvl="0">
        <w:numFmt w:val="decimal"/>
        <w:lvlText w:val="%1."/>
        <w:lvlJc w:val="left"/>
      </w:lvl>
    </w:lvlOverride>
  </w:num>
  <w:num w:numId="12">
    <w:abstractNumId w:val="16"/>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7"/>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47E7"/>
    <w:rsid w:val="000621ED"/>
    <w:rsid w:val="00070EE1"/>
    <w:rsid w:val="0007367E"/>
    <w:rsid w:val="000929F7"/>
    <w:rsid w:val="000A455A"/>
    <w:rsid w:val="00175699"/>
    <w:rsid w:val="00182E5C"/>
    <w:rsid w:val="001D14BC"/>
    <w:rsid w:val="00394E80"/>
    <w:rsid w:val="0045119F"/>
    <w:rsid w:val="004F5DE1"/>
    <w:rsid w:val="00517989"/>
    <w:rsid w:val="00525F7E"/>
    <w:rsid w:val="00627534"/>
    <w:rsid w:val="006765FB"/>
    <w:rsid w:val="00694C64"/>
    <w:rsid w:val="00775DF0"/>
    <w:rsid w:val="00793986"/>
    <w:rsid w:val="007F2FCF"/>
    <w:rsid w:val="00827B45"/>
    <w:rsid w:val="008637E6"/>
    <w:rsid w:val="00884B18"/>
    <w:rsid w:val="008A2778"/>
    <w:rsid w:val="008C1DE6"/>
    <w:rsid w:val="009C54D8"/>
    <w:rsid w:val="009C6BCA"/>
    <w:rsid w:val="00AA27BE"/>
    <w:rsid w:val="00AC43EB"/>
    <w:rsid w:val="00CE2BDA"/>
    <w:rsid w:val="00CF4E05"/>
    <w:rsid w:val="00D20289"/>
    <w:rsid w:val="00D361B4"/>
    <w:rsid w:val="00D37794"/>
    <w:rsid w:val="00D91BF9"/>
    <w:rsid w:val="00DD2854"/>
    <w:rsid w:val="00DE2BE8"/>
    <w:rsid w:val="00E23B1A"/>
    <w:rsid w:val="00EA52BA"/>
    <w:rsid w:val="00EF39AE"/>
    <w:rsid w:val="00F0321D"/>
    <w:rsid w:val="00F162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EAE"/>
  <w15:chartTrackingRefBased/>
  <w15:docId w15:val="{7F8F220F-4C1D-470A-8FD3-72E77365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4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ms">
    <w:name w:val="ams"/>
    <w:basedOn w:val="a0"/>
    <w:rsid w:val="00394E80"/>
  </w:style>
  <w:style w:type="paragraph" w:styleId="a4">
    <w:name w:val="List Paragraph"/>
    <w:basedOn w:val="a"/>
    <w:uiPriority w:val="34"/>
    <w:qFormat/>
    <w:rsid w:val="00CF4E05"/>
    <w:pPr>
      <w:ind w:left="720"/>
      <w:contextualSpacing/>
    </w:pPr>
  </w:style>
  <w:style w:type="paragraph" w:styleId="a5">
    <w:name w:val="header"/>
    <w:basedOn w:val="a"/>
    <w:link w:val="a6"/>
    <w:uiPriority w:val="99"/>
    <w:unhideWhenUsed/>
    <w:rsid w:val="000621E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21ED"/>
  </w:style>
  <w:style w:type="paragraph" w:styleId="a7">
    <w:name w:val="footer"/>
    <w:basedOn w:val="a"/>
    <w:link w:val="a8"/>
    <w:uiPriority w:val="99"/>
    <w:unhideWhenUsed/>
    <w:rsid w:val="000621E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21ED"/>
  </w:style>
  <w:style w:type="paragraph" w:styleId="a9">
    <w:name w:val="Balloon Text"/>
    <w:basedOn w:val="a"/>
    <w:link w:val="aa"/>
    <w:uiPriority w:val="99"/>
    <w:semiHidden/>
    <w:unhideWhenUsed/>
    <w:rsid w:val="00827B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27B45"/>
    <w:rPr>
      <w:rFonts w:ascii="Segoe UI" w:hAnsi="Segoe UI" w:cs="Segoe UI"/>
      <w:sz w:val="18"/>
      <w:szCs w:val="18"/>
    </w:rPr>
  </w:style>
  <w:style w:type="paragraph" w:customStyle="1" w:styleId="Rvps2">
    <w:name w:val="Rvps2"/>
    <w:basedOn w:val="a"/>
    <w:uiPriority w:val="99"/>
    <w:rsid w:val="00D37794"/>
    <w:pPr>
      <w:spacing w:before="100" w:after="100" w:line="240" w:lineRule="auto"/>
    </w:pPr>
    <w:rPr>
      <w:rFonts w:ascii="Times New Roman" w:eastAsia="Times New Roman" w:hAnsi="Times New Roman" w:cs="Times New Roman"/>
      <w:sz w:val="24"/>
      <w:szCs w:val="24"/>
      <w:lang w:eastAsia="uk-UA"/>
    </w:rPr>
  </w:style>
  <w:style w:type="table" w:styleId="ab">
    <w:name w:val="Table Grid"/>
    <w:basedOn w:val="a1"/>
    <w:uiPriority w:val="99"/>
    <w:rsid w:val="009C54D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344365">
      <w:bodyDiv w:val="1"/>
      <w:marLeft w:val="0"/>
      <w:marRight w:val="0"/>
      <w:marTop w:val="0"/>
      <w:marBottom w:val="0"/>
      <w:divBdr>
        <w:top w:val="none" w:sz="0" w:space="0" w:color="auto"/>
        <w:left w:val="none" w:sz="0" w:space="0" w:color="auto"/>
        <w:bottom w:val="none" w:sz="0" w:space="0" w:color="auto"/>
        <w:right w:val="none" w:sz="0" w:space="0" w:color="auto"/>
      </w:divBdr>
    </w:div>
    <w:div w:id="959995225">
      <w:bodyDiv w:val="1"/>
      <w:marLeft w:val="0"/>
      <w:marRight w:val="0"/>
      <w:marTop w:val="0"/>
      <w:marBottom w:val="0"/>
      <w:divBdr>
        <w:top w:val="none" w:sz="0" w:space="0" w:color="auto"/>
        <w:left w:val="none" w:sz="0" w:space="0" w:color="auto"/>
        <w:bottom w:val="none" w:sz="0" w:space="0" w:color="auto"/>
        <w:right w:val="none" w:sz="0" w:space="0" w:color="auto"/>
      </w:divBdr>
      <w:divsChild>
        <w:div w:id="912739912">
          <w:marLeft w:val="0"/>
          <w:marRight w:val="0"/>
          <w:marTop w:val="0"/>
          <w:marBottom w:val="0"/>
          <w:divBdr>
            <w:top w:val="none" w:sz="0" w:space="0" w:color="auto"/>
            <w:left w:val="none" w:sz="0" w:space="0" w:color="auto"/>
            <w:bottom w:val="none" w:sz="0" w:space="0" w:color="auto"/>
            <w:right w:val="none" w:sz="0" w:space="0" w:color="auto"/>
          </w:divBdr>
        </w:div>
      </w:divsChild>
    </w:div>
    <w:div w:id="1211724739">
      <w:bodyDiv w:val="1"/>
      <w:marLeft w:val="0"/>
      <w:marRight w:val="0"/>
      <w:marTop w:val="0"/>
      <w:marBottom w:val="0"/>
      <w:divBdr>
        <w:top w:val="none" w:sz="0" w:space="0" w:color="auto"/>
        <w:left w:val="none" w:sz="0" w:space="0" w:color="auto"/>
        <w:bottom w:val="none" w:sz="0" w:space="0" w:color="auto"/>
        <w:right w:val="none" w:sz="0" w:space="0" w:color="auto"/>
      </w:divBdr>
    </w:div>
    <w:div w:id="1243416018">
      <w:bodyDiv w:val="1"/>
      <w:marLeft w:val="0"/>
      <w:marRight w:val="0"/>
      <w:marTop w:val="0"/>
      <w:marBottom w:val="0"/>
      <w:divBdr>
        <w:top w:val="none" w:sz="0" w:space="0" w:color="auto"/>
        <w:left w:val="none" w:sz="0" w:space="0" w:color="auto"/>
        <w:bottom w:val="none" w:sz="0" w:space="0" w:color="auto"/>
        <w:right w:val="none" w:sz="0" w:space="0" w:color="auto"/>
      </w:divBdr>
      <w:divsChild>
        <w:div w:id="458232505">
          <w:marLeft w:val="0"/>
          <w:marRight w:val="0"/>
          <w:marTop w:val="0"/>
          <w:marBottom w:val="0"/>
          <w:divBdr>
            <w:top w:val="none" w:sz="0" w:space="0" w:color="auto"/>
            <w:left w:val="none" w:sz="0" w:space="0" w:color="auto"/>
            <w:bottom w:val="none" w:sz="0" w:space="0" w:color="auto"/>
            <w:right w:val="none" w:sz="0" w:space="0" w:color="auto"/>
          </w:divBdr>
        </w:div>
      </w:divsChild>
    </w:div>
    <w:div w:id="1296716180">
      <w:bodyDiv w:val="1"/>
      <w:marLeft w:val="0"/>
      <w:marRight w:val="0"/>
      <w:marTop w:val="0"/>
      <w:marBottom w:val="0"/>
      <w:divBdr>
        <w:top w:val="none" w:sz="0" w:space="0" w:color="auto"/>
        <w:left w:val="none" w:sz="0" w:space="0" w:color="auto"/>
        <w:bottom w:val="none" w:sz="0" w:space="0" w:color="auto"/>
        <w:right w:val="none" w:sz="0" w:space="0" w:color="auto"/>
      </w:divBdr>
    </w:div>
    <w:div w:id="1409034845">
      <w:bodyDiv w:val="1"/>
      <w:marLeft w:val="0"/>
      <w:marRight w:val="0"/>
      <w:marTop w:val="0"/>
      <w:marBottom w:val="0"/>
      <w:divBdr>
        <w:top w:val="none" w:sz="0" w:space="0" w:color="auto"/>
        <w:left w:val="none" w:sz="0" w:space="0" w:color="auto"/>
        <w:bottom w:val="none" w:sz="0" w:space="0" w:color="auto"/>
        <w:right w:val="none" w:sz="0" w:space="0" w:color="auto"/>
      </w:divBdr>
      <w:divsChild>
        <w:div w:id="1920360595">
          <w:marLeft w:val="0"/>
          <w:marRight w:val="0"/>
          <w:marTop w:val="0"/>
          <w:marBottom w:val="0"/>
          <w:divBdr>
            <w:top w:val="none" w:sz="0" w:space="0" w:color="auto"/>
            <w:left w:val="none" w:sz="0" w:space="0" w:color="auto"/>
            <w:bottom w:val="none" w:sz="0" w:space="0" w:color="auto"/>
            <w:right w:val="none" w:sz="0" w:space="0" w:color="auto"/>
          </w:divBdr>
          <w:divsChild>
            <w:div w:id="2016959027">
              <w:marLeft w:val="0"/>
              <w:marRight w:val="0"/>
              <w:marTop w:val="0"/>
              <w:marBottom w:val="0"/>
              <w:divBdr>
                <w:top w:val="none" w:sz="0" w:space="0" w:color="auto"/>
                <w:left w:val="none" w:sz="0" w:space="0" w:color="auto"/>
                <w:bottom w:val="none" w:sz="0" w:space="0" w:color="auto"/>
                <w:right w:val="none" w:sz="0" w:space="0" w:color="auto"/>
              </w:divBdr>
              <w:divsChild>
                <w:div w:id="25300722">
                  <w:marLeft w:val="0"/>
                  <w:marRight w:val="0"/>
                  <w:marTop w:val="0"/>
                  <w:marBottom w:val="0"/>
                  <w:divBdr>
                    <w:top w:val="none" w:sz="0" w:space="0" w:color="auto"/>
                    <w:left w:val="none" w:sz="0" w:space="0" w:color="auto"/>
                    <w:bottom w:val="none" w:sz="0" w:space="0" w:color="auto"/>
                    <w:right w:val="none" w:sz="0" w:space="0" w:color="auto"/>
                  </w:divBdr>
                  <w:divsChild>
                    <w:div w:id="814102011">
                      <w:marLeft w:val="0"/>
                      <w:marRight w:val="0"/>
                      <w:marTop w:val="120"/>
                      <w:marBottom w:val="0"/>
                      <w:divBdr>
                        <w:top w:val="none" w:sz="0" w:space="0" w:color="auto"/>
                        <w:left w:val="none" w:sz="0" w:space="0" w:color="auto"/>
                        <w:bottom w:val="none" w:sz="0" w:space="0" w:color="auto"/>
                        <w:right w:val="none" w:sz="0" w:space="0" w:color="auto"/>
                      </w:divBdr>
                      <w:divsChild>
                        <w:div w:id="963803863">
                          <w:marLeft w:val="0"/>
                          <w:marRight w:val="0"/>
                          <w:marTop w:val="0"/>
                          <w:marBottom w:val="0"/>
                          <w:divBdr>
                            <w:top w:val="none" w:sz="0" w:space="0" w:color="auto"/>
                            <w:left w:val="none" w:sz="0" w:space="0" w:color="auto"/>
                            <w:bottom w:val="none" w:sz="0" w:space="0" w:color="auto"/>
                            <w:right w:val="none" w:sz="0" w:space="0" w:color="auto"/>
                          </w:divBdr>
                          <w:divsChild>
                            <w:div w:id="76395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335">
          <w:marLeft w:val="0"/>
          <w:marRight w:val="0"/>
          <w:marTop w:val="0"/>
          <w:marBottom w:val="0"/>
          <w:divBdr>
            <w:top w:val="none" w:sz="0" w:space="0" w:color="auto"/>
            <w:left w:val="none" w:sz="0" w:space="0" w:color="auto"/>
            <w:bottom w:val="none" w:sz="0" w:space="0" w:color="auto"/>
            <w:right w:val="none" w:sz="0" w:space="0" w:color="auto"/>
          </w:divBdr>
          <w:divsChild>
            <w:div w:id="1478496479">
              <w:marLeft w:val="0"/>
              <w:marRight w:val="0"/>
              <w:marTop w:val="0"/>
              <w:marBottom w:val="0"/>
              <w:divBdr>
                <w:top w:val="none" w:sz="0" w:space="0" w:color="auto"/>
                <w:left w:val="none" w:sz="0" w:space="0" w:color="auto"/>
                <w:bottom w:val="none" w:sz="0" w:space="0" w:color="auto"/>
                <w:right w:val="none" w:sz="0" w:space="0" w:color="auto"/>
              </w:divBdr>
              <w:divsChild>
                <w:div w:id="1352612480">
                  <w:marLeft w:val="0"/>
                  <w:marRight w:val="0"/>
                  <w:marTop w:val="0"/>
                  <w:marBottom w:val="0"/>
                  <w:divBdr>
                    <w:top w:val="none" w:sz="0" w:space="0" w:color="auto"/>
                    <w:left w:val="none" w:sz="0" w:space="0" w:color="auto"/>
                    <w:bottom w:val="none" w:sz="0" w:space="0" w:color="auto"/>
                    <w:right w:val="none" w:sz="0" w:space="0" w:color="auto"/>
                  </w:divBdr>
                  <w:divsChild>
                    <w:div w:id="432021848">
                      <w:marLeft w:val="0"/>
                      <w:marRight w:val="0"/>
                      <w:marTop w:val="0"/>
                      <w:marBottom w:val="0"/>
                      <w:divBdr>
                        <w:top w:val="none" w:sz="0" w:space="0" w:color="auto"/>
                        <w:left w:val="none" w:sz="0" w:space="0" w:color="auto"/>
                        <w:bottom w:val="none" w:sz="0" w:space="0" w:color="auto"/>
                        <w:right w:val="none" w:sz="0" w:space="0" w:color="auto"/>
                      </w:divBdr>
                      <w:divsChild>
                        <w:div w:id="671877364">
                          <w:marLeft w:val="0"/>
                          <w:marRight w:val="0"/>
                          <w:marTop w:val="0"/>
                          <w:marBottom w:val="0"/>
                          <w:divBdr>
                            <w:top w:val="none" w:sz="0" w:space="0" w:color="auto"/>
                            <w:left w:val="none" w:sz="0" w:space="0" w:color="auto"/>
                            <w:bottom w:val="none" w:sz="0" w:space="0" w:color="auto"/>
                            <w:right w:val="none" w:sz="0" w:space="0" w:color="auto"/>
                          </w:divBdr>
                          <w:divsChild>
                            <w:div w:id="20462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446105">
      <w:bodyDiv w:val="1"/>
      <w:marLeft w:val="0"/>
      <w:marRight w:val="0"/>
      <w:marTop w:val="0"/>
      <w:marBottom w:val="0"/>
      <w:divBdr>
        <w:top w:val="none" w:sz="0" w:space="0" w:color="auto"/>
        <w:left w:val="none" w:sz="0" w:space="0" w:color="auto"/>
        <w:bottom w:val="none" w:sz="0" w:space="0" w:color="auto"/>
        <w:right w:val="none" w:sz="0" w:space="0" w:color="auto"/>
      </w:divBdr>
    </w:div>
    <w:div w:id="1633436407">
      <w:bodyDiv w:val="1"/>
      <w:marLeft w:val="0"/>
      <w:marRight w:val="0"/>
      <w:marTop w:val="0"/>
      <w:marBottom w:val="0"/>
      <w:divBdr>
        <w:top w:val="none" w:sz="0" w:space="0" w:color="auto"/>
        <w:left w:val="none" w:sz="0" w:space="0" w:color="auto"/>
        <w:bottom w:val="none" w:sz="0" w:space="0" w:color="auto"/>
        <w:right w:val="none" w:sz="0" w:space="0" w:color="auto"/>
      </w:divBdr>
      <w:divsChild>
        <w:div w:id="405541109">
          <w:marLeft w:val="0"/>
          <w:marRight w:val="0"/>
          <w:marTop w:val="0"/>
          <w:marBottom w:val="0"/>
          <w:divBdr>
            <w:top w:val="none" w:sz="0" w:space="0" w:color="auto"/>
            <w:left w:val="none" w:sz="0" w:space="0" w:color="auto"/>
            <w:bottom w:val="none" w:sz="0" w:space="0" w:color="auto"/>
            <w:right w:val="none" w:sz="0" w:space="0" w:color="auto"/>
          </w:divBdr>
          <w:divsChild>
            <w:div w:id="1554659893">
              <w:marLeft w:val="0"/>
              <w:marRight w:val="0"/>
              <w:marTop w:val="0"/>
              <w:marBottom w:val="0"/>
              <w:divBdr>
                <w:top w:val="none" w:sz="0" w:space="0" w:color="auto"/>
                <w:left w:val="none" w:sz="0" w:space="0" w:color="auto"/>
                <w:bottom w:val="none" w:sz="0" w:space="0" w:color="auto"/>
                <w:right w:val="none" w:sz="0" w:space="0" w:color="auto"/>
              </w:divBdr>
              <w:divsChild>
                <w:div w:id="589319819">
                  <w:marLeft w:val="0"/>
                  <w:marRight w:val="0"/>
                  <w:marTop w:val="0"/>
                  <w:marBottom w:val="0"/>
                  <w:divBdr>
                    <w:top w:val="none" w:sz="0" w:space="0" w:color="auto"/>
                    <w:left w:val="none" w:sz="0" w:space="0" w:color="auto"/>
                    <w:bottom w:val="none" w:sz="0" w:space="0" w:color="auto"/>
                    <w:right w:val="none" w:sz="0" w:space="0" w:color="auto"/>
                  </w:divBdr>
                  <w:divsChild>
                    <w:div w:id="201330977">
                      <w:marLeft w:val="0"/>
                      <w:marRight w:val="0"/>
                      <w:marTop w:val="120"/>
                      <w:marBottom w:val="0"/>
                      <w:divBdr>
                        <w:top w:val="none" w:sz="0" w:space="0" w:color="auto"/>
                        <w:left w:val="none" w:sz="0" w:space="0" w:color="auto"/>
                        <w:bottom w:val="none" w:sz="0" w:space="0" w:color="auto"/>
                        <w:right w:val="none" w:sz="0" w:space="0" w:color="auto"/>
                      </w:divBdr>
                      <w:divsChild>
                        <w:div w:id="480926019">
                          <w:marLeft w:val="0"/>
                          <w:marRight w:val="0"/>
                          <w:marTop w:val="0"/>
                          <w:marBottom w:val="0"/>
                          <w:divBdr>
                            <w:top w:val="none" w:sz="0" w:space="0" w:color="auto"/>
                            <w:left w:val="none" w:sz="0" w:space="0" w:color="auto"/>
                            <w:bottom w:val="none" w:sz="0" w:space="0" w:color="auto"/>
                            <w:right w:val="none" w:sz="0" w:space="0" w:color="auto"/>
                          </w:divBdr>
                          <w:divsChild>
                            <w:div w:id="9755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25578">
          <w:marLeft w:val="0"/>
          <w:marRight w:val="0"/>
          <w:marTop w:val="0"/>
          <w:marBottom w:val="0"/>
          <w:divBdr>
            <w:top w:val="none" w:sz="0" w:space="0" w:color="auto"/>
            <w:left w:val="none" w:sz="0" w:space="0" w:color="auto"/>
            <w:bottom w:val="none" w:sz="0" w:space="0" w:color="auto"/>
            <w:right w:val="none" w:sz="0" w:space="0" w:color="auto"/>
          </w:divBdr>
          <w:divsChild>
            <w:div w:id="853418344">
              <w:marLeft w:val="0"/>
              <w:marRight w:val="0"/>
              <w:marTop w:val="0"/>
              <w:marBottom w:val="0"/>
              <w:divBdr>
                <w:top w:val="none" w:sz="0" w:space="0" w:color="auto"/>
                <w:left w:val="none" w:sz="0" w:space="0" w:color="auto"/>
                <w:bottom w:val="none" w:sz="0" w:space="0" w:color="auto"/>
                <w:right w:val="none" w:sz="0" w:space="0" w:color="auto"/>
              </w:divBdr>
              <w:divsChild>
                <w:div w:id="1961111974">
                  <w:marLeft w:val="0"/>
                  <w:marRight w:val="0"/>
                  <w:marTop w:val="0"/>
                  <w:marBottom w:val="0"/>
                  <w:divBdr>
                    <w:top w:val="none" w:sz="0" w:space="0" w:color="auto"/>
                    <w:left w:val="none" w:sz="0" w:space="0" w:color="auto"/>
                    <w:bottom w:val="none" w:sz="0" w:space="0" w:color="auto"/>
                    <w:right w:val="none" w:sz="0" w:space="0" w:color="auto"/>
                  </w:divBdr>
                  <w:divsChild>
                    <w:div w:id="249781551">
                      <w:marLeft w:val="0"/>
                      <w:marRight w:val="0"/>
                      <w:marTop w:val="0"/>
                      <w:marBottom w:val="0"/>
                      <w:divBdr>
                        <w:top w:val="none" w:sz="0" w:space="0" w:color="auto"/>
                        <w:left w:val="none" w:sz="0" w:space="0" w:color="auto"/>
                        <w:bottom w:val="none" w:sz="0" w:space="0" w:color="auto"/>
                        <w:right w:val="none" w:sz="0" w:space="0" w:color="auto"/>
                      </w:divBdr>
                      <w:divsChild>
                        <w:div w:id="837504807">
                          <w:marLeft w:val="0"/>
                          <w:marRight w:val="0"/>
                          <w:marTop w:val="0"/>
                          <w:marBottom w:val="0"/>
                          <w:divBdr>
                            <w:top w:val="none" w:sz="0" w:space="0" w:color="auto"/>
                            <w:left w:val="none" w:sz="0" w:space="0" w:color="auto"/>
                            <w:bottom w:val="none" w:sz="0" w:space="0" w:color="auto"/>
                            <w:right w:val="none" w:sz="0" w:space="0" w:color="auto"/>
                          </w:divBdr>
                          <w:divsChild>
                            <w:div w:id="390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52629">
      <w:bodyDiv w:val="1"/>
      <w:marLeft w:val="0"/>
      <w:marRight w:val="0"/>
      <w:marTop w:val="0"/>
      <w:marBottom w:val="0"/>
      <w:divBdr>
        <w:top w:val="none" w:sz="0" w:space="0" w:color="auto"/>
        <w:left w:val="none" w:sz="0" w:space="0" w:color="auto"/>
        <w:bottom w:val="none" w:sz="0" w:space="0" w:color="auto"/>
        <w:right w:val="none" w:sz="0" w:space="0" w:color="auto"/>
      </w:divBdr>
      <w:divsChild>
        <w:div w:id="1769235579">
          <w:marLeft w:val="0"/>
          <w:marRight w:val="0"/>
          <w:marTop w:val="0"/>
          <w:marBottom w:val="0"/>
          <w:divBdr>
            <w:top w:val="none" w:sz="0" w:space="0" w:color="auto"/>
            <w:left w:val="none" w:sz="0" w:space="0" w:color="auto"/>
            <w:bottom w:val="none" w:sz="0" w:space="0" w:color="auto"/>
            <w:right w:val="none" w:sz="0" w:space="0" w:color="auto"/>
          </w:divBdr>
        </w:div>
      </w:divsChild>
    </w:div>
    <w:div w:id="2029287894">
      <w:bodyDiv w:val="1"/>
      <w:marLeft w:val="0"/>
      <w:marRight w:val="0"/>
      <w:marTop w:val="0"/>
      <w:marBottom w:val="0"/>
      <w:divBdr>
        <w:top w:val="none" w:sz="0" w:space="0" w:color="auto"/>
        <w:left w:val="none" w:sz="0" w:space="0" w:color="auto"/>
        <w:bottom w:val="none" w:sz="0" w:space="0" w:color="auto"/>
        <w:right w:val="none" w:sz="0" w:space="0" w:color="auto"/>
      </w:divBdr>
      <w:divsChild>
        <w:div w:id="66690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6014</Words>
  <Characters>3429</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Топорецька Зоряна Миколаївна</cp:lastModifiedBy>
  <cp:revision>21</cp:revision>
  <cp:lastPrinted>2020-01-03T10:56:00Z</cp:lastPrinted>
  <dcterms:created xsi:type="dcterms:W3CDTF">2020-06-15T14:17:00Z</dcterms:created>
  <dcterms:modified xsi:type="dcterms:W3CDTF">2020-06-16T14:15:00Z</dcterms:modified>
</cp:coreProperties>
</file>