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4CF" w:rsidRDefault="000A14CF">
      <w:pPr>
        <w:spacing w:after="0" w:line="240" w:lineRule="auto"/>
        <w:ind w:firstLine="567"/>
        <w:rPr>
          <w:rFonts w:ascii="Times New Roman" w:eastAsia="Times New Roman" w:hAnsi="Times New Roman" w:cs="Times New Roman"/>
          <w:sz w:val="28"/>
          <w:szCs w:val="28"/>
        </w:rPr>
      </w:pPr>
    </w:p>
    <w:p w:rsidR="000A14CF" w:rsidRDefault="000A14CF">
      <w:pPr>
        <w:spacing w:after="0" w:line="240" w:lineRule="auto"/>
        <w:ind w:firstLine="567"/>
        <w:rPr>
          <w:rFonts w:ascii="Times New Roman" w:eastAsia="Times New Roman" w:hAnsi="Times New Roman" w:cs="Times New Roman"/>
          <w:sz w:val="28"/>
          <w:szCs w:val="28"/>
        </w:rPr>
      </w:pPr>
    </w:p>
    <w:p w:rsidR="000A14CF" w:rsidRDefault="00D335EC">
      <w:pPr>
        <w:spacing w:after="0" w:line="360" w:lineRule="auto"/>
        <w:ind w:firstLine="567"/>
        <w:jc w:val="both"/>
        <w:rPr>
          <w:rFonts w:ascii="Times New Roman" w:eastAsia="Times New Roman" w:hAnsi="Times New Roman" w:cs="Times New Roman"/>
          <w:color w:val="333333"/>
          <w:sz w:val="28"/>
          <w:szCs w:val="28"/>
          <w:highlight w:val="white"/>
        </w:rPr>
      </w:pPr>
      <w:r>
        <w:rPr>
          <w:rFonts w:ascii="Arial" w:eastAsia="Arial" w:hAnsi="Arial" w:cs="Arial"/>
          <w:color w:val="333333"/>
          <w:sz w:val="18"/>
          <w:szCs w:val="18"/>
          <w:highlight w:val="white"/>
        </w:rPr>
        <w:t> </w:t>
      </w:r>
      <w:r>
        <w:rPr>
          <w:rFonts w:ascii="Arial" w:eastAsia="Arial" w:hAnsi="Arial" w:cs="Arial"/>
          <w:color w:val="333333"/>
          <w:sz w:val="18"/>
          <w:szCs w:val="18"/>
          <w:highlight w:val="white"/>
        </w:rPr>
        <w:tab/>
      </w:r>
      <w:r>
        <w:rPr>
          <w:rFonts w:ascii="Arial" w:eastAsia="Arial" w:hAnsi="Arial" w:cs="Arial"/>
          <w:color w:val="333333"/>
          <w:sz w:val="18"/>
          <w:szCs w:val="18"/>
          <w:highlight w:val="white"/>
        </w:rPr>
        <w:tab/>
      </w:r>
      <w:r>
        <w:rPr>
          <w:rFonts w:ascii="Arial" w:eastAsia="Arial" w:hAnsi="Arial" w:cs="Arial"/>
          <w:color w:val="333333"/>
          <w:sz w:val="18"/>
          <w:szCs w:val="18"/>
          <w:highlight w:val="white"/>
        </w:rPr>
        <w:tab/>
      </w:r>
      <w:r>
        <w:rPr>
          <w:rFonts w:ascii="Arial" w:eastAsia="Arial" w:hAnsi="Arial" w:cs="Arial"/>
          <w:color w:val="333333"/>
          <w:sz w:val="18"/>
          <w:szCs w:val="18"/>
          <w:highlight w:val="white"/>
        </w:rPr>
        <w:tab/>
      </w:r>
      <w:r>
        <w:rPr>
          <w:rFonts w:ascii="Times New Roman" w:eastAsia="Times New Roman" w:hAnsi="Times New Roman" w:cs="Times New Roman"/>
          <w:color w:val="333333"/>
          <w:sz w:val="28"/>
          <w:szCs w:val="28"/>
          <w:highlight w:val="white"/>
        </w:rPr>
        <w:tab/>
      </w:r>
      <w:r>
        <w:rPr>
          <w:rFonts w:ascii="Times New Roman" w:eastAsia="Times New Roman" w:hAnsi="Times New Roman" w:cs="Times New Roman"/>
          <w:color w:val="333333"/>
          <w:sz w:val="28"/>
          <w:szCs w:val="28"/>
          <w:highlight w:val="white"/>
        </w:rPr>
        <w:tab/>
      </w:r>
    </w:p>
    <w:p w:rsidR="000A14CF" w:rsidRDefault="000A14CF">
      <w:pPr>
        <w:spacing w:after="0" w:line="360" w:lineRule="auto"/>
        <w:ind w:firstLine="567"/>
        <w:jc w:val="both"/>
        <w:rPr>
          <w:rFonts w:ascii="Times New Roman" w:eastAsia="Times New Roman" w:hAnsi="Times New Roman" w:cs="Times New Roman"/>
          <w:color w:val="333333"/>
          <w:sz w:val="28"/>
          <w:szCs w:val="28"/>
          <w:highlight w:val="white"/>
        </w:rPr>
      </w:pPr>
    </w:p>
    <w:p w:rsidR="000A14CF" w:rsidRDefault="00D335EC">
      <w:pPr>
        <w:spacing w:after="0" w:line="360" w:lineRule="auto"/>
        <w:ind w:left="5664"/>
        <w:jc w:val="both"/>
        <w:rPr>
          <w:rFonts w:ascii="Times New Roman" w:eastAsia="Times New Roman" w:hAnsi="Times New Roman" w:cs="Times New Roman"/>
          <w:i/>
          <w:color w:val="333333"/>
          <w:sz w:val="28"/>
          <w:szCs w:val="28"/>
          <w:highlight w:val="white"/>
        </w:rPr>
      </w:pPr>
      <w:r>
        <w:rPr>
          <w:rFonts w:ascii="Times New Roman" w:eastAsia="Times New Roman" w:hAnsi="Times New Roman" w:cs="Times New Roman"/>
          <w:color w:val="333333"/>
          <w:sz w:val="28"/>
          <w:szCs w:val="28"/>
          <w:highlight w:val="white"/>
        </w:rPr>
        <w:t>Комітет з питань фінансів, податкової та митної політики</w:t>
      </w:r>
    </w:p>
    <w:p w:rsidR="000A14CF" w:rsidRDefault="00D335EC">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Рішення Комітету</w:t>
      </w:r>
    </w:p>
    <w:p w:rsidR="000A14CF" w:rsidRDefault="00D335EC">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щодо експертного висновку</w:t>
      </w:r>
    </w:p>
    <w:p w:rsidR="000A14CF" w:rsidRDefault="00D335EC">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законопроекту № 2713-д</w:t>
      </w:r>
    </w:p>
    <w:p w:rsidR="000A14CF" w:rsidRDefault="000A14CF">
      <w:pPr>
        <w:spacing w:after="0" w:line="360" w:lineRule="auto"/>
        <w:jc w:val="both"/>
        <w:rPr>
          <w:rFonts w:ascii="Times New Roman" w:eastAsia="Times New Roman" w:hAnsi="Times New Roman" w:cs="Times New Roman"/>
          <w:color w:val="333333"/>
          <w:sz w:val="28"/>
          <w:szCs w:val="28"/>
          <w:highlight w:val="white"/>
        </w:rPr>
      </w:pPr>
    </w:p>
    <w:p w:rsidR="000A14CF" w:rsidRDefault="00D335EC">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Податкового кодексу України щодо оподаткування доходів від діяльності з організації та проведення азартних ігор та лотерей (реєстр. № 2713-д), поданий народним депутатом України </w:t>
      </w:r>
      <w:proofErr w:type="spellStart"/>
      <w:r>
        <w:rPr>
          <w:rFonts w:ascii="Times New Roman" w:eastAsia="Times New Roman" w:hAnsi="Times New Roman" w:cs="Times New Roman"/>
          <w:sz w:val="28"/>
          <w:szCs w:val="28"/>
        </w:rPr>
        <w:t>Марусяком</w:t>
      </w:r>
      <w:proofErr w:type="spellEnd"/>
      <w:r>
        <w:rPr>
          <w:rFonts w:ascii="Times New Roman" w:eastAsia="Times New Roman" w:hAnsi="Times New Roman" w:cs="Times New Roman"/>
          <w:sz w:val="28"/>
          <w:szCs w:val="28"/>
        </w:rPr>
        <w:t xml:space="preserve"> О.Р. </w:t>
      </w:r>
    </w:p>
    <w:p w:rsidR="000A14CF" w:rsidRDefault="00D335EC">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Метою законопроекту, як вказано у пояснювальній записці, є утворення сприятливих умов для виведення з тіні та легальної роботи сфери азартних ігор в Україні шляхом використання стимулюючої ролі податків.</w:t>
      </w:r>
    </w:p>
    <w:p w:rsidR="000A14CF" w:rsidRDefault="00D335EC">
      <w:pPr>
        <w:spacing w:after="0" w:line="36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проекті </w:t>
      </w:r>
      <w:proofErr w:type="spellStart"/>
      <w:r>
        <w:rPr>
          <w:rFonts w:ascii="Times New Roman" w:eastAsia="Times New Roman" w:hAnsi="Times New Roman" w:cs="Times New Roman"/>
          <w:b/>
          <w:sz w:val="28"/>
          <w:szCs w:val="28"/>
        </w:rPr>
        <w:t>акта</w:t>
      </w:r>
      <w:proofErr w:type="spellEnd"/>
      <w:r>
        <w:rPr>
          <w:rFonts w:ascii="Times New Roman" w:eastAsia="Times New Roman" w:hAnsi="Times New Roman" w:cs="Times New Roman"/>
          <w:b/>
          <w:sz w:val="28"/>
          <w:szCs w:val="28"/>
        </w:rPr>
        <w:t xml:space="preserve"> виявлено </w:t>
      </w:r>
      <w:proofErr w:type="spellStart"/>
      <w:r>
        <w:rPr>
          <w:rFonts w:ascii="Times New Roman" w:eastAsia="Times New Roman" w:hAnsi="Times New Roman" w:cs="Times New Roman"/>
          <w:b/>
          <w:sz w:val="28"/>
          <w:szCs w:val="28"/>
        </w:rPr>
        <w:t>корупціогенні</w:t>
      </w:r>
      <w:proofErr w:type="spellEnd"/>
      <w:r>
        <w:rPr>
          <w:rFonts w:ascii="Times New Roman" w:eastAsia="Times New Roman" w:hAnsi="Times New Roman" w:cs="Times New Roman"/>
          <w:b/>
          <w:sz w:val="28"/>
          <w:szCs w:val="28"/>
        </w:rPr>
        <w:t xml:space="preserve"> фактори, що можуть сприяти вчиненню корупційних правопорушень.</w:t>
      </w:r>
    </w:p>
    <w:p w:rsidR="000A14CF" w:rsidRDefault="00D335EC">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новими підпунктами 164.2.8 пункту 164.2 статті 164 «</w:t>
      </w:r>
      <w:r>
        <w:rPr>
          <w:rFonts w:ascii="Times New Roman" w:eastAsia="Times New Roman" w:hAnsi="Times New Roman" w:cs="Times New Roman"/>
          <w:i/>
          <w:sz w:val="28"/>
          <w:szCs w:val="28"/>
        </w:rPr>
        <w:t>База оподаткування»</w:t>
      </w:r>
      <w:r>
        <w:rPr>
          <w:rFonts w:ascii="Times New Roman" w:eastAsia="Times New Roman" w:hAnsi="Times New Roman" w:cs="Times New Roman"/>
          <w:sz w:val="28"/>
          <w:szCs w:val="28"/>
        </w:rPr>
        <w:t xml:space="preserve"> та 165.1.62 пункту 165.1 статті 165 «</w:t>
      </w:r>
      <w:r>
        <w:rPr>
          <w:rFonts w:ascii="Times New Roman" w:eastAsia="Times New Roman" w:hAnsi="Times New Roman" w:cs="Times New Roman"/>
          <w:i/>
          <w:sz w:val="28"/>
          <w:szCs w:val="28"/>
        </w:rPr>
        <w:t>Доходи, які не включаються до розрахунку загального місячного (річного) оподаткованого доходу»</w:t>
      </w:r>
      <w:r>
        <w:rPr>
          <w:rFonts w:ascii="Times New Roman" w:eastAsia="Times New Roman" w:hAnsi="Times New Roman" w:cs="Times New Roman"/>
          <w:sz w:val="28"/>
          <w:szCs w:val="28"/>
        </w:rPr>
        <w:t xml:space="preserve"> сума </w:t>
      </w:r>
      <w:r>
        <w:rPr>
          <w:rFonts w:ascii="Times New Roman" w:eastAsia="Times New Roman" w:hAnsi="Times New Roman" w:cs="Times New Roman"/>
          <w:sz w:val="28"/>
          <w:szCs w:val="28"/>
        </w:rPr>
        <w:lastRenderedPageBreak/>
        <w:t xml:space="preserve">виграшів (призів) в азартних іграх та лотереях не включаються до загального місячного (річного) оподатковуваного доходу платника податку. За відсутності </w:t>
      </w:r>
      <w:bookmarkStart w:id="0" w:name="_GoBack"/>
      <w:bookmarkEnd w:id="0"/>
      <w:r>
        <w:rPr>
          <w:rFonts w:ascii="Times New Roman" w:eastAsia="Times New Roman" w:hAnsi="Times New Roman" w:cs="Times New Roman"/>
          <w:sz w:val="28"/>
          <w:szCs w:val="28"/>
        </w:rPr>
        <w:t xml:space="preserve">визначеної максимальної суми виграшу, що не оподатковується, та відповідної системи контролю такий підхід може створити можливості для </w:t>
      </w:r>
      <w:r>
        <w:rPr>
          <w:rFonts w:ascii="Times New Roman" w:eastAsia="Times New Roman" w:hAnsi="Times New Roman" w:cs="Times New Roman"/>
          <w:b/>
          <w:sz w:val="28"/>
          <w:szCs w:val="28"/>
          <w:u w:val="single"/>
        </w:rPr>
        <w:t>ухилення від сплати податків,</w:t>
      </w:r>
      <w:r>
        <w:rPr>
          <w:rFonts w:ascii="Times New Roman" w:eastAsia="Times New Roman" w:hAnsi="Times New Roman" w:cs="Times New Roman"/>
          <w:b/>
          <w:sz w:val="28"/>
          <w:szCs w:val="28"/>
        </w:rPr>
        <w:t xml:space="preserve"> легалізації доходів</w:t>
      </w:r>
      <w:sdt>
        <w:sdtPr>
          <w:tag w:val="goog_rdk_0"/>
          <w:id w:val="1676603930"/>
        </w:sdtPr>
        <w:sdtEndPr/>
        <w:sdtContent>
          <w:r>
            <w:rPr>
              <w:rFonts w:ascii="Times New Roman" w:eastAsia="Times New Roman" w:hAnsi="Times New Roman" w:cs="Times New Roman"/>
              <w:b/>
              <w:sz w:val="28"/>
              <w:szCs w:val="28"/>
            </w:rPr>
            <w:t>,</w:t>
          </w:r>
        </w:sdtContent>
      </w:sdt>
      <w:r>
        <w:rPr>
          <w:rFonts w:ascii="Times New Roman" w:eastAsia="Times New Roman" w:hAnsi="Times New Roman" w:cs="Times New Roman"/>
          <w:b/>
          <w:sz w:val="28"/>
          <w:szCs w:val="28"/>
        </w:rPr>
        <w:t xml:space="preserve"> отриманих незаконним шляхом.</w:t>
      </w:r>
    </w:p>
    <w:p w:rsidR="000A14CF" w:rsidRDefault="00D335EC">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того, слід зауважити, що законопроектом визначено різні режими оподаткування для азартних ігор та лотерей. </w:t>
      </w:r>
    </w:p>
    <w:p w:rsidR="000A14CF" w:rsidRDefault="00D335EC">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 азартні ігри оподатковуються податком на дохід та податком на прибуток, а лотереї лише податком на дохід </w:t>
      </w:r>
      <w:r>
        <w:rPr>
          <w:rFonts w:ascii="Times New Roman" w:eastAsia="Times New Roman" w:hAnsi="Times New Roman" w:cs="Times New Roman"/>
          <w:i/>
          <w:sz w:val="28"/>
          <w:szCs w:val="28"/>
        </w:rPr>
        <w:t>(пункти 141.5 та 141.8 статті 141 в редакції проекту).</w:t>
      </w:r>
      <w:r>
        <w:rPr>
          <w:rFonts w:ascii="Times New Roman" w:eastAsia="Times New Roman" w:hAnsi="Times New Roman" w:cs="Times New Roman"/>
          <w:sz w:val="28"/>
          <w:szCs w:val="28"/>
        </w:rPr>
        <w:t xml:space="preserve"> Такі особливості оподаткування порушують принцип рівності платників податків, а діяльність лотерей стає більш вигідною, порівняно з іншими видами діяльності у сфері грального бізнесу.</w:t>
      </w:r>
    </w:p>
    <w:p w:rsidR="000A14CF" w:rsidRDefault="00D335EC">
      <w:pPr>
        <w:spacing w:after="0" w:line="360" w:lineRule="auto"/>
        <w:ind w:firstLine="567"/>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22 вересня 2020 року (протокол № 51) дійшов висновку та прийняв рішення, що проект Закону про внесення змін до Податкового кодексу України щодо оподаткування доходів від діяльності з організації та проведення азартних ігор та лотерей (реєстр. № 2713-д), поданий народним депутатом України </w:t>
      </w:r>
      <w:proofErr w:type="spellStart"/>
      <w:r>
        <w:rPr>
          <w:rFonts w:ascii="Times New Roman" w:eastAsia="Times New Roman" w:hAnsi="Times New Roman" w:cs="Times New Roman"/>
          <w:sz w:val="28"/>
          <w:szCs w:val="28"/>
        </w:rPr>
        <w:t>Марусяком</w:t>
      </w:r>
      <w:proofErr w:type="spellEnd"/>
      <w:r>
        <w:rPr>
          <w:rFonts w:ascii="Times New Roman" w:eastAsia="Times New Roman" w:hAnsi="Times New Roman" w:cs="Times New Roman"/>
          <w:sz w:val="28"/>
          <w:szCs w:val="28"/>
        </w:rPr>
        <w:t xml:space="preserve"> О.Р., </w:t>
      </w:r>
      <w:r>
        <w:rPr>
          <w:rFonts w:ascii="Times New Roman" w:eastAsia="Times New Roman" w:hAnsi="Times New Roman" w:cs="Times New Roman"/>
          <w:b/>
          <w:sz w:val="28"/>
          <w:szCs w:val="28"/>
        </w:rPr>
        <w:t>не</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відповідає вимогам антикорупційного законодавства</w:t>
      </w:r>
      <w:r>
        <w:rPr>
          <w:rFonts w:ascii="Times New Roman" w:eastAsia="Times New Roman" w:hAnsi="Times New Roman" w:cs="Times New Roman"/>
          <w:sz w:val="28"/>
          <w:szCs w:val="28"/>
        </w:rPr>
        <w:t>.</w:t>
      </w:r>
    </w:p>
    <w:p w:rsidR="000A14CF" w:rsidRDefault="000A14CF">
      <w:pPr>
        <w:spacing w:after="0" w:line="360" w:lineRule="auto"/>
        <w:ind w:firstLine="567"/>
        <w:jc w:val="both"/>
        <w:rPr>
          <w:rFonts w:ascii="Times New Roman" w:eastAsia="Times New Roman" w:hAnsi="Times New Roman" w:cs="Times New Roman"/>
          <w:sz w:val="28"/>
          <w:szCs w:val="28"/>
        </w:rPr>
      </w:pPr>
    </w:p>
    <w:p w:rsidR="000A14CF" w:rsidRDefault="00D335EC">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Голова Комітету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А. </w:t>
      </w:r>
      <w:proofErr w:type="spellStart"/>
      <w:r>
        <w:rPr>
          <w:rFonts w:ascii="Times New Roman" w:eastAsia="Times New Roman" w:hAnsi="Times New Roman" w:cs="Times New Roman"/>
          <w:sz w:val="28"/>
          <w:szCs w:val="28"/>
        </w:rPr>
        <w:t>Радіна</w:t>
      </w:r>
      <w:proofErr w:type="spellEnd"/>
    </w:p>
    <w:p w:rsidR="000A14CF" w:rsidRDefault="00D335EC">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0A14CF" w:rsidRDefault="000A14CF"/>
    <w:p w:rsidR="000A14CF" w:rsidRDefault="000A14CF"/>
    <w:p w:rsidR="000A14CF" w:rsidRDefault="000A14CF"/>
    <w:p w:rsidR="000A14CF" w:rsidRDefault="000A14CF"/>
    <w:sectPr w:rsidR="000A14CF">
      <w:headerReference w:type="default" r:id="rId7"/>
      <w:headerReference w:type="first" r:id="rId8"/>
      <w:footerReference w:type="first" r:id="rId9"/>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B14" w:rsidRDefault="00172B14">
      <w:pPr>
        <w:spacing w:after="0" w:line="240" w:lineRule="auto"/>
      </w:pPr>
      <w:r>
        <w:separator/>
      </w:r>
    </w:p>
  </w:endnote>
  <w:endnote w:type="continuationSeparator" w:id="0">
    <w:p w:rsidR="00172B14" w:rsidRDefault="0017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4CF" w:rsidRDefault="000A14CF">
    <w:pPr>
      <w:pBdr>
        <w:top w:val="nil"/>
        <w:left w:val="nil"/>
        <w:bottom w:val="nil"/>
        <w:right w:val="nil"/>
        <w:between w:val="nil"/>
      </w:pBdr>
      <w:tabs>
        <w:tab w:val="center" w:pos="4819"/>
        <w:tab w:val="right" w:pos="9639"/>
      </w:tabs>
      <w:spacing w:after="0" w:line="240" w:lineRule="auto"/>
      <w:jc w:val="center"/>
      <w:rPr>
        <w:color w:val="000000"/>
      </w:rPr>
    </w:pPr>
  </w:p>
  <w:p w:rsidR="000A14CF" w:rsidRDefault="000A14CF">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B14" w:rsidRDefault="00172B14">
      <w:pPr>
        <w:spacing w:after="0" w:line="240" w:lineRule="auto"/>
      </w:pPr>
      <w:r>
        <w:separator/>
      </w:r>
    </w:p>
  </w:footnote>
  <w:footnote w:type="continuationSeparator" w:id="0">
    <w:p w:rsidR="00172B14" w:rsidRDefault="0017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4CF" w:rsidRDefault="00D335EC">
    <w:pPr>
      <w:pBdr>
        <w:top w:val="nil"/>
        <w:left w:val="nil"/>
        <w:bottom w:val="nil"/>
        <w:right w:val="nil"/>
        <w:between w:val="nil"/>
      </w:pBdr>
      <w:tabs>
        <w:tab w:val="center" w:pos="4819"/>
        <w:tab w:val="right" w:pos="9639"/>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4CF" w:rsidRDefault="000A14CF">
    <w:pPr>
      <w:widowControl w:val="0"/>
      <w:pBdr>
        <w:top w:val="nil"/>
        <w:left w:val="nil"/>
        <w:bottom w:val="nil"/>
        <w:right w:val="nil"/>
        <w:between w:val="nil"/>
      </w:pBdr>
      <w:spacing w:after="0" w:line="276" w:lineRule="auto"/>
    </w:pPr>
  </w:p>
  <w:tbl>
    <w:tblPr>
      <w:tblStyle w:val="ac"/>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0A14CF">
      <w:tc>
        <w:tcPr>
          <w:tcW w:w="11957" w:type="dxa"/>
          <w:tcBorders>
            <w:top w:val="nil"/>
            <w:left w:val="nil"/>
            <w:bottom w:val="nil"/>
            <w:right w:val="nil"/>
          </w:tcBorders>
        </w:tcPr>
        <w:p w:rsidR="000A14CF" w:rsidRDefault="000A14CF">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0A14CF" w:rsidRDefault="000A14CF">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0A14CF" w:rsidRDefault="000A14CF">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32"/>
              <w:szCs w:val="32"/>
            </w:rPr>
          </w:pPr>
        </w:p>
        <w:p w:rsidR="000A14CF" w:rsidRDefault="00D335EC">
          <w:pPr>
            <w:pBdr>
              <w:top w:val="nil"/>
              <w:left w:val="nil"/>
              <w:bottom w:val="nil"/>
              <w:right w:val="nil"/>
              <w:between w:val="nil"/>
            </w:pBdr>
            <w:tabs>
              <w:tab w:val="center" w:pos="4819"/>
              <w:tab w:val="right" w:pos="9639"/>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0A14CF" w:rsidRDefault="00D335EC">
          <w:pPr>
            <w:pBdr>
              <w:top w:val="nil"/>
              <w:left w:val="nil"/>
              <w:bottom w:val="nil"/>
              <w:right w:val="nil"/>
              <w:between w:val="nil"/>
            </w:pBdr>
            <w:tabs>
              <w:tab w:val="center" w:pos="4819"/>
              <w:tab w:val="right" w:pos="9639"/>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0A14CF" w:rsidRDefault="00D335EC">
          <w:pPr>
            <w:pBdr>
              <w:top w:val="nil"/>
              <w:left w:val="nil"/>
              <w:bottom w:val="nil"/>
              <w:right w:val="nil"/>
              <w:between w:val="nil"/>
            </w:pBdr>
            <w:tabs>
              <w:tab w:val="center" w:pos="4819"/>
              <w:tab w:val="right" w:pos="9639"/>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 xml:space="preserve">01008, м.Київ-8, вул. М. Грушевського, 5, </w:t>
          </w:r>
          <w:proofErr w:type="spellStart"/>
          <w:r>
            <w:rPr>
              <w:rFonts w:ascii="Times New Roman" w:eastAsia="Times New Roman" w:hAnsi="Times New Roman" w:cs="Times New Roman"/>
              <w:color w:val="1829A8"/>
              <w:sz w:val="20"/>
              <w:szCs w:val="20"/>
            </w:rPr>
            <w:t>тел</w:t>
          </w:r>
          <w:proofErr w:type="spellEnd"/>
          <w:r>
            <w:rPr>
              <w:rFonts w:ascii="Times New Roman" w:eastAsia="Times New Roman" w:hAnsi="Times New Roman" w:cs="Times New Roman"/>
              <w:color w:val="1829A8"/>
              <w:sz w:val="20"/>
              <w:szCs w:val="20"/>
            </w:rPr>
            <w:t>.: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rsidR="000A14CF" w:rsidRDefault="000A14CF">
    <w:pPr>
      <w:widowControl w:val="0"/>
      <w:pBdr>
        <w:top w:val="nil"/>
        <w:left w:val="nil"/>
        <w:bottom w:val="nil"/>
        <w:right w:val="nil"/>
        <w:between w:val="nil"/>
      </w:pBdr>
      <w:spacing w:after="0" w:line="276" w:lineRule="auto"/>
      <w:rPr>
        <w:color w:val="002060"/>
        <w:sz w:val="20"/>
        <w:szCs w:val="20"/>
      </w:rPr>
    </w:pPr>
  </w:p>
  <w:tbl>
    <w:tblPr>
      <w:tblStyle w:val="ad"/>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0A14CF">
      <w:tc>
        <w:tcPr>
          <w:tcW w:w="1087" w:type="dxa"/>
          <w:tcBorders>
            <w:top w:val="nil"/>
          </w:tcBorders>
        </w:tcPr>
        <w:p w:rsidR="000A14CF" w:rsidRDefault="000A14CF">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9714" w:type="dxa"/>
        </w:tcPr>
        <w:p w:rsidR="000A14CF" w:rsidRDefault="000A14CF">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1086" w:type="dxa"/>
          <w:tcBorders>
            <w:top w:val="nil"/>
          </w:tcBorders>
        </w:tcPr>
        <w:p w:rsidR="000A14CF" w:rsidRDefault="000A14CF">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r>
  </w:tbl>
  <w:p w:rsidR="000A14CF" w:rsidRDefault="000A14CF">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4CF"/>
    <w:rsid w:val="000A14CF"/>
    <w:rsid w:val="00172B14"/>
    <w:rsid w:val="00AF0F55"/>
    <w:rsid w:val="00C14853"/>
    <w:rsid w:val="00D335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0C199C-7300-4518-A0CE-1865ACA14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E4E"/>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semiHidden/>
    <w:unhideWhenUsed/>
    <w:rsid w:val="00D47E4E"/>
    <w:pPr>
      <w:tabs>
        <w:tab w:val="center" w:pos="4819"/>
        <w:tab w:val="right" w:pos="9639"/>
      </w:tabs>
      <w:spacing w:after="0" w:line="240" w:lineRule="auto"/>
    </w:pPr>
  </w:style>
  <w:style w:type="character" w:customStyle="1" w:styleId="a5">
    <w:name w:val="Верхній колонтитул Знак"/>
    <w:basedOn w:val="a0"/>
    <w:link w:val="a4"/>
    <w:uiPriority w:val="99"/>
    <w:semiHidden/>
    <w:rsid w:val="00D47E4E"/>
  </w:style>
  <w:style w:type="paragraph" w:styleId="a6">
    <w:name w:val="footer"/>
    <w:basedOn w:val="a"/>
    <w:link w:val="a7"/>
    <w:uiPriority w:val="99"/>
    <w:semiHidden/>
    <w:unhideWhenUsed/>
    <w:rsid w:val="00D47E4E"/>
    <w:pPr>
      <w:tabs>
        <w:tab w:val="center" w:pos="4819"/>
        <w:tab w:val="right" w:pos="9639"/>
      </w:tabs>
      <w:spacing w:after="0" w:line="240" w:lineRule="auto"/>
    </w:pPr>
  </w:style>
  <w:style w:type="character" w:customStyle="1" w:styleId="a7">
    <w:name w:val="Нижній колонтитул Знак"/>
    <w:basedOn w:val="a0"/>
    <w:link w:val="a6"/>
    <w:uiPriority w:val="99"/>
    <w:semiHidden/>
    <w:rsid w:val="00D47E4E"/>
  </w:style>
  <w:style w:type="table" w:styleId="a8">
    <w:name w:val="Table Grid"/>
    <w:basedOn w:val="a1"/>
    <w:uiPriority w:val="99"/>
    <w:rsid w:val="00D47E4E"/>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747FF"/>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A747FF"/>
    <w:rPr>
      <w:rFonts w:ascii="Segoe UI" w:hAnsi="Segoe UI" w:cs="Segoe UI"/>
      <w:sz w:val="18"/>
      <w:szCs w:val="18"/>
    </w:rPr>
  </w:style>
  <w:style w:type="paragraph" w:styleId="ab">
    <w:name w:val="Subtitle"/>
    <w:basedOn w:val="a"/>
    <w:next w:val="a"/>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JT/Xwdkd+n7OZAWzNoPY5Yl/ZA==">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1694</Words>
  <Characters>966</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Желих Наталія Михайлівна</dc:creator>
  <cp:lastModifiedBy>Чілікіна Алла Василівна</cp:lastModifiedBy>
  <cp:revision>4</cp:revision>
  <dcterms:created xsi:type="dcterms:W3CDTF">2020-10-01T08:29:00Z</dcterms:created>
  <dcterms:modified xsi:type="dcterms:W3CDTF">2020-10-01T08:32:00Z</dcterms:modified>
</cp:coreProperties>
</file>