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C148D" w14:textId="77777777" w:rsidR="00004E20" w:rsidRPr="00004E20" w:rsidRDefault="00004E20" w:rsidP="00004E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04E20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13A46450" w14:textId="2019F32C" w:rsidR="00004E20" w:rsidRPr="00004E20" w:rsidRDefault="00004E20" w:rsidP="00004E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 проекту Закону України про внесення змін до Податкового кодексу України </w:t>
      </w:r>
      <w:r w:rsidR="001F10B8">
        <w:rPr>
          <w:rFonts w:ascii="Times New Roman" w:eastAsia="Times New Roman" w:hAnsi="Times New Roman" w:cs="Times New Roman"/>
          <w:b/>
          <w:bCs/>
          <w:sz w:val="28"/>
          <w:szCs w:val="28"/>
        </w:rPr>
        <w:t>та інших з</w:t>
      </w:r>
      <w:r w:rsidR="003C01D3" w:rsidRPr="003C01D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аконів України </w:t>
      </w: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щодо оподаткування доходів від </w:t>
      </w:r>
      <w:r w:rsidR="008219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діяльності з </w:t>
      </w: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організації та проведення азартних ігор</w:t>
      </w:r>
      <w:r w:rsidR="008219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лотерей</w:t>
      </w:r>
    </w:p>
    <w:p w14:paraId="24A8FEEC" w14:textId="77777777" w:rsidR="00004E20" w:rsidRPr="00004E20" w:rsidRDefault="00004E20" w:rsidP="00004E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80A0DB2" w14:textId="32FF7F56" w:rsidR="00004E20" w:rsidRPr="00602E19" w:rsidRDefault="00004E20" w:rsidP="00B93C0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2E19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0F5D40F5" w14:textId="3C85C755" w:rsidR="008C7B8C" w:rsidRPr="008C7B8C" w:rsidRDefault="008C7B8C" w:rsidP="008C7B8C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Постановою</w:t>
      </w:r>
      <w:r w:rsidRPr="008C7B8C">
        <w:rPr>
          <w:rFonts w:ascii="Times New Roman" w:hAnsi="Times New Roman"/>
          <w:bCs/>
          <w:sz w:val="28"/>
          <w:szCs w:val="28"/>
        </w:rPr>
        <w:t xml:space="preserve"> Верховної Ради України від 3 червня 2021 року №1535-ІХ «Про направлення на повторне перше читання проекту Закону України про внесення змін до Податкового кодексу України щодо оподаткування доходів від діяльності з організації та проведення азартних ігор та лотерей»</w:t>
      </w:r>
      <w:r>
        <w:rPr>
          <w:rFonts w:ascii="Times New Roman" w:hAnsi="Times New Roman"/>
          <w:bCs/>
          <w:sz w:val="28"/>
          <w:szCs w:val="28"/>
        </w:rPr>
        <w:t xml:space="preserve"> вказаний проект направлено на повторне перше читання до Комітету та доопрацьовано Комітетом з урахуванням </w:t>
      </w:r>
      <w:r>
        <w:rPr>
          <w:rFonts w:ascii="Times New Roman" w:hAnsi="Times New Roman"/>
          <w:sz w:val="28"/>
          <w:szCs w:val="28"/>
        </w:rPr>
        <w:t>пропозицій та зауважень</w:t>
      </w:r>
      <w:r w:rsidRPr="00FC126F">
        <w:rPr>
          <w:rFonts w:ascii="Times New Roman" w:hAnsi="Times New Roman"/>
          <w:sz w:val="28"/>
          <w:szCs w:val="28"/>
        </w:rPr>
        <w:t xml:space="preserve"> народних депутатів України, Комісії з регулювання азартних іго</w:t>
      </w:r>
      <w:r>
        <w:rPr>
          <w:rFonts w:ascii="Times New Roman" w:hAnsi="Times New Roman"/>
          <w:sz w:val="28"/>
          <w:szCs w:val="28"/>
        </w:rPr>
        <w:t>р та лотерей, а також пропозицій</w:t>
      </w:r>
      <w:r w:rsidRPr="00FC126F">
        <w:rPr>
          <w:rFonts w:ascii="Times New Roman" w:hAnsi="Times New Roman"/>
          <w:sz w:val="28"/>
          <w:szCs w:val="28"/>
        </w:rPr>
        <w:t xml:space="preserve"> представників бізнесу</w:t>
      </w:r>
      <w:r>
        <w:rPr>
          <w:rFonts w:ascii="Times New Roman" w:hAnsi="Times New Roman"/>
          <w:sz w:val="28"/>
          <w:szCs w:val="28"/>
        </w:rPr>
        <w:t>, висловлених</w:t>
      </w:r>
      <w:r w:rsidRPr="00FC126F">
        <w:rPr>
          <w:rFonts w:ascii="Times New Roman" w:hAnsi="Times New Roman"/>
          <w:sz w:val="28"/>
          <w:szCs w:val="28"/>
        </w:rPr>
        <w:t xml:space="preserve"> на робочих групах.</w:t>
      </w:r>
    </w:p>
    <w:p w14:paraId="1AF48E30" w14:textId="53748AE8" w:rsidR="00602E19" w:rsidRDefault="00BB3A3A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Понад 10 років в Україні </w:t>
      </w:r>
      <w:r w:rsidR="0075393F" w:rsidRPr="00BB3A3A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219EE"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Про заборону грального бізнесу в Україні" </w:t>
      </w:r>
      <w:r>
        <w:rPr>
          <w:rFonts w:ascii="Times New Roman" w:hAnsi="Times New Roman" w:cs="Times New Roman"/>
          <w:sz w:val="28"/>
          <w:szCs w:val="28"/>
        </w:rPr>
        <w:t>заборонено</w:t>
      </w:r>
      <w:r w:rsidRPr="00BB3A3A">
        <w:rPr>
          <w:rFonts w:ascii="Times New Roman" w:hAnsi="Times New Roman" w:cs="Times New Roman"/>
          <w:sz w:val="28"/>
          <w:szCs w:val="28"/>
        </w:rPr>
        <w:t xml:space="preserve"> </w:t>
      </w:r>
      <w:r w:rsidR="0075393F" w:rsidRPr="00BB3A3A">
        <w:rPr>
          <w:rFonts w:ascii="Times New Roman" w:hAnsi="Times New Roman" w:cs="Times New Roman"/>
          <w:sz w:val="28"/>
          <w:szCs w:val="28"/>
        </w:rPr>
        <w:t>будь-як</w:t>
      </w:r>
      <w:r>
        <w:rPr>
          <w:rFonts w:ascii="Times New Roman" w:hAnsi="Times New Roman" w:cs="Times New Roman"/>
          <w:sz w:val="28"/>
          <w:szCs w:val="28"/>
        </w:rPr>
        <w:t>у діяльність з організації та проведення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 азартн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 іг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5393F" w:rsidRPr="00BB3A3A">
        <w:rPr>
          <w:rFonts w:ascii="Times New Roman" w:hAnsi="Times New Roman" w:cs="Times New Roman"/>
          <w:sz w:val="28"/>
          <w:szCs w:val="28"/>
        </w:rPr>
        <w:t>р</w:t>
      </w:r>
      <w:r w:rsidR="008219EE">
        <w:rPr>
          <w:rFonts w:ascii="Times New Roman" w:hAnsi="Times New Roman" w:cs="Times New Roman"/>
          <w:sz w:val="28"/>
          <w:szCs w:val="28"/>
        </w:rPr>
        <w:t>»</w:t>
      </w:r>
      <w:r w:rsidR="0075393F" w:rsidRPr="00BB3A3A">
        <w:rPr>
          <w:rFonts w:ascii="Times New Roman" w:hAnsi="Times New Roman" w:cs="Times New Roman"/>
          <w:sz w:val="28"/>
          <w:szCs w:val="28"/>
        </w:rPr>
        <w:t>.</w:t>
      </w:r>
    </w:p>
    <w:p w14:paraId="253322D6" w14:textId="1C7C62A6" w:rsidR="00A87FF2" w:rsidRDefault="00E42AE5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липня 2020 року Верховною Радою України прийнято Закон</w:t>
      </w:r>
      <w:r w:rsidRPr="008219EE">
        <w:rPr>
          <w:rFonts w:ascii="Times New Roman" w:hAnsi="Times New Roman" w:cs="Times New Roman"/>
          <w:sz w:val="28"/>
          <w:szCs w:val="28"/>
        </w:rPr>
        <w:t xml:space="preserve"> України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219EE">
        <w:rPr>
          <w:rFonts w:ascii="Times New Roman" w:hAnsi="Times New Roman" w:cs="Times New Roman"/>
          <w:sz w:val="28"/>
          <w:szCs w:val="28"/>
        </w:rPr>
        <w:t>ро державне регулювання діяльності щодо організації та проведення азартних ігор»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2AE5">
        <w:rPr>
          <w:rFonts w:ascii="Times New Roman" w:hAnsi="Times New Roman" w:cs="Times New Roman"/>
          <w:sz w:val="28"/>
          <w:szCs w:val="28"/>
        </w:rPr>
        <w:t>№ 768-IX</w:t>
      </w:r>
      <w:r>
        <w:rPr>
          <w:rFonts w:ascii="Times New Roman" w:hAnsi="Times New Roman" w:cs="Times New Roman"/>
          <w:sz w:val="28"/>
          <w:szCs w:val="28"/>
        </w:rPr>
        <w:t xml:space="preserve"> (далі – Закон). </w:t>
      </w:r>
      <w:r w:rsidR="00A21321">
        <w:rPr>
          <w:rFonts w:ascii="Times New Roman" w:hAnsi="Times New Roman" w:cs="Times New Roman"/>
          <w:sz w:val="28"/>
          <w:szCs w:val="28"/>
        </w:rPr>
        <w:t xml:space="preserve">На </w:t>
      </w:r>
      <w:r w:rsidR="00A87FF2">
        <w:rPr>
          <w:rFonts w:ascii="Times New Roman" w:hAnsi="Times New Roman" w:cs="Times New Roman"/>
          <w:sz w:val="28"/>
          <w:szCs w:val="28"/>
        </w:rPr>
        <w:t>кінець травня 2021 року</w:t>
      </w:r>
      <w:r w:rsidR="00A21321">
        <w:rPr>
          <w:rFonts w:ascii="Times New Roman" w:hAnsi="Times New Roman" w:cs="Times New Roman"/>
          <w:sz w:val="28"/>
          <w:szCs w:val="28"/>
        </w:rPr>
        <w:t xml:space="preserve"> Комісією з регулювання азартних ігор та лотерей вже </w:t>
      </w:r>
      <w:r w:rsidR="00A87FF2">
        <w:rPr>
          <w:rFonts w:ascii="Times New Roman" w:hAnsi="Times New Roman" w:cs="Times New Roman"/>
          <w:sz w:val="28"/>
          <w:szCs w:val="28"/>
        </w:rPr>
        <w:t xml:space="preserve">видано 19 ліцензій на здійснення діяльності з організації та проведення азартних ігор, </w:t>
      </w:r>
      <w:r w:rsidR="00AF46A8">
        <w:rPr>
          <w:rFonts w:ascii="Times New Roman" w:hAnsi="Times New Roman" w:cs="Times New Roman"/>
          <w:sz w:val="28"/>
          <w:szCs w:val="28"/>
        </w:rPr>
        <w:t>та ліцензії на гральне обладнання, всього на загальну суму 737,784 мн. грн.</w:t>
      </w:r>
    </w:p>
    <w:p w14:paraId="3CCADB1A" w14:textId="174D98D9" w:rsidR="00BE44E8" w:rsidRPr="00272312" w:rsidRDefault="00BE44E8" w:rsidP="00272312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17565">
        <w:rPr>
          <w:rFonts w:ascii="Times New Roman" w:hAnsi="Times New Roman" w:cs="Times New Roman"/>
          <w:sz w:val="28"/>
          <w:szCs w:val="28"/>
        </w:rPr>
        <w:t>У країнах ЄС використо</w:t>
      </w:r>
      <w:r>
        <w:rPr>
          <w:rFonts w:ascii="Times New Roman" w:hAnsi="Times New Roman" w:cs="Times New Roman"/>
          <w:sz w:val="28"/>
          <w:szCs w:val="28"/>
        </w:rPr>
        <w:t>вується досить простий підхід. «Дорогі»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ліцензії - низькі податки, або «дешеві»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ліцензії і</w:t>
      </w:r>
      <w:r>
        <w:rPr>
          <w:rFonts w:ascii="Times New Roman" w:hAnsi="Times New Roman" w:cs="Times New Roman"/>
          <w:sz w:val="28"/>
          <w:szCs w:val="28"/>
        </w:rPr>
        <w:t xml:space="preserve"> високі податки, але так щоб і «дорогі»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ліцензії і високі податки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 нонсенс.</w:t>
      </w:r>
    </w:p>
    <w:p w14:paraId="5EE1A861" w14:textId="77777777" w:rsidR="00B95717" w:rsidRDefault="00272312" w:rsidP="0091160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272312">
        <w:rPr>
          <w:rFonts w:ascii="Times New Roman" w:hAnsi="Times New Roman" w:cs="Times New Roman"/>
          <w:b/>
          <w:sz w:val="28"/>
          <w:szCs w:val="28"/>
        </w:rPr>
        <w:t>Білорусі</w:t>
      </w:r>
      <w:r>
        <w:rPr>
          <w:rFonts w:ascii="Times New Roman" w:hAnsi="Times New Roman" w:cs="Times New Roman"/>
          <w:sz w:val="28"/>
          <w:szCs w:val="28"/>
        </w:rPr>
        <w:t xml:space="preserve"> вартість загальної  ліцензії становить </w:t>
      </w:r>
      <w:r w:rsidRPr="00272312">
        <w:rPr>
          <w:rFonts w:ascii="Times New Roman" w:hAnsi="Times New Roman" w:cs="Times New Roman"/>
          <w:sz w:val="28"/>
          <w:szCs w:val="28"/>
        </w:rPr>
        <w:t>5 300 EUR, окремо передбачено фіксовані річні платежі за одиницю обладнання, наприклад, 1 488,07 EUR –  гральний стіл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72312">
        <w:rPr>
          <w:rFonts w:ascii="Times New Roman" w:hAnsi="Times New Roman" w:cs="Times New Roman"/>
          <w:sz w:val="28"/>
          <w:szCs w:val="28"/>
        </w:rPr>
        <w:t>56,68 EUR –  гральний автомат, ставка податку на GGR – 4%.</w:t>
      </w:r>
      <w:r w:rsidR="00690E0B">
        <w:rPr>
          <w:rFonts w:ascii="Times New Roman" w:hAnsi="Times New Roman" w:cs="Times New Roman"/>
          <w:sz w:val="28"/>
          <w:szCs w:val="28"/>
        </w:rPr>
        <w:t xml:space="preserve"> В </w:t>
      </w:r>
      <w:r w:rsidR="00690E0B" w:rsidRPr="00690E0B">
        <w:rPr>
          <w:rFonts w:ascii="Times New Roman" w:hAnsi="Times New Roman" w:cs="Times New Roman"/>
          <w:b/>
          <w:sz w:val="28"/>
          <w:szCs w:val="28"/>
        </w:rPr>
        <w:t xml:space="preserve">Естонії </w:t>
      </w:r>
      <w:r w:rsidR="00690E0B">
        <w:rPr>
          <w:rFonts w:ascii="Times New Roman" w:hAnsi="Times New Roman" w:cs="Times New Roman"/>
          <w:sz w:val="28"/>
          <w:szCs w:val="28"/>
        </w:rPr>
        <w:t xml:space="preserve">для казино </w:t>
      </w:r>
      <w:r w:rsidR="00690E0B" w:rsidRPr="00690E0B">
        <w:rPr>
          <w:rFonts w:ascii="Times New Roman" w:hAnsi="Times New Roman" w:cs="Times New Roman"/>
          <w:sz w:val="28"/>
          <w:szCs w:val="28"/>
        </w:rPr>
        <w:t>51 200 EUR одноразовий державний збір та плата за експлуатаційний дозвіл</w:t>
      </w:r>
      <w:r w:rsidR="00690E0B">
        <w:rPr>
          <w:rFonts w:ascii="Times New Roman" w:hAnsi="Times New Roman" w:cs="Times New Roman"/>
          <w:sz w:val="28"/>
          <w:szCs w:val="28"/>
        </w:rPr>
        <w:t xml:space="preserve">, </w:t>
      </w:r>
      <w:r w:rsidR="00690E0B" w:rsidRPr="00690E0B">
        <w:rPr>
          <w:rFonts w:ascii="Times New Roman" w:hAnsi="Times New Roman" w:cs="Times New Roman"/>
          <w:sz w:val="28"/>
          <w:szCs w:val="28"/>
        </w:rPr>
        <w:t>ставки та послуги тоталізатора –35 200 EUR одноразовий державний збір та плата за експлуатаційний дозвіл, ставка податку 5-10%.</w:t>
      </w:r>
      <w:r w:rsidR="006E6E7D">
        <w:rPr>
          <w:rFonts w:ascii="Times New Roman" w:hAnsi="Times New Roman" w:cs="Times New Roman"/>
          <w:sz w:val="28"/>
          <w:szCs w:val="28"/>
        </w:rPr>
        <w:t xml:space="preserve"> У </w:t>
      </w:r>
      <w:r w:rsidR="006E6E7D" w:rsidRPr="00D709F3">
        <w:rPr>
          <w:rFonts w:ascii="Times New Roman" w:hAnsi="Times New Roman" w:cs="Times New Roman"/>
          <w:b/>
          <w:sz w:val="28"/>
          <w:szCs w:val="28"/>
        </w:rPr>
        <w:t>Румунії</w:t>
      </w:r>
      <w:r w:rsidR="006E6E7D">
        <w:rPr>
          <w:rFonts w:ascii="Times New Roman" w:hAnsi="Times New Roman" w:cs="Times New Roman"/>
          <w:sz w:val="28"/>
          <w:szCs w:val="28"/>
        </w:rPr>
        <w:t xml:space="preserve"> </w:t>
      </w:r>
      <w:r w:rsidR="006E6E7D" w:rsidRPr="006E6E7D">
        <w:rPr>
          <w:rFonts w:ascii="Times New Roman" w:hAnsi="Times New Roman" w:cs="Times New Roman"/>
          <w:sz w:val="28"/>
          <w:szCs w:val="28"/>
        </w:rPr>
        <w:t>внески за подання заявки та отримання ліцензії 2500 євро та за аналіз файлу, та 8500 євро за видачу ліцензії</w:t>
      </w:r>
      <w:r w:rsidR="006E6E7D">
        <w:rPr>
          <w:rFonts w:ascii="Times New Roman" w:hAnsi="Times New Roman" w:cs="Times New Roman"/>
          <w:sz w:val="28"/>
          <w:szCs w:val="28"/>
        </w:rPr>
        <w:t>, податки на рівні 16%</w:t>
      </w:r>
      <w:r w:rsidR="006E6E7D" w:rsidRPr="006E6E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E6E7D" w:rsidRPr="00911602">
        <w:rPr>
          <w:rFonts w:ascii="Times New Roman" w:hAnsi="Times New Roman" w:cs="Times New Roman"/>
          <w:sz w:val="28"/>
          <w:szCs w:val="28"/>
        </w:rPr>
        <w:t>від GGR</w:t>
      </w:r>
      <w:r w:rsidR="006E6E7D" w:rsidRPr="006E6E7D">
        <w:rPr>
          <w:rFonts w:ascii="Times New Roman" w:hAnsi="Times New Roman" w:cs="Times New Roman"/>
          <w:sz w:val="28"/>
          <w:szCs w:val="28"/>
        </w:rPr>
        <w:t>.</w:t>
      </w:r>
      <w:r w:rsidR="009116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F42E93" w14:textId="5DC16236" w:rsidR="00911602" w:rsidRDefault="00911602" w:rsidP="0091160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911602">
        <w:rPr>
          <w:rFonts w:ascii="Times New Roman" w:hAnsi="Times New Roman" w:cs="Times New Roman"/>
          <w:b/>
          <w:sz w:val="28"/>
          <w:szCs w:val="28"/>
        </w:rPr>
        <w:t>Чорногорії</w:t>
      </w:r>
      <w:r>
        <w:rPr>
          <w:rFonts w:ascii="Times New Roman" w:hAnsi="Times New Roman" w:cs="Times New Roman"/>
          <w:sz w:val="28"/>
          <w:szCs w:val="28"/>
        </w:rPr>
        <w:t xml:space="preserve"> при високій вартості ліцензії для казино і невисокій для інших видів бізнесу: </w:t>
      </w:r>
      <w:r w:rsidRPr="00911602">
        <w:rPr>
          <w:rFonts w:ascii="Times New Roman" w:hAnsi="Times New Roman" w:cs="Times New Roman"/>
          <w:sz w:val="28"/>
          <w:szCs w:val="28"/>
        </w:rPr>
        <w:t>казино - разовий платіж 2 000 000 EUR</w:t>
      </w:r>
      <w:r>
        <w:rPr>
          <w:rFonts w:ascii="Times New Roman" w:hAnsi="Times New Roman" w:cs="Times New Roman"/>
          <w:sz w:val="28"/>
          <w:szCs w:val="28"/>
        </w:rPr>
        <w:t xml:space="preserve">  та </w:t>
      </w:r>
      <w:r w:rsidRPr="00911602">
        <w:rPr>
          <w:rFonts w:ascii="Times New Roman" w:hAnsi="Times New Roman" w:cs="Times New Roman"/>
          <w:sz w:val="28"/>
          <w:szCs w:val="28"/>
        </w:rPr>
        <w:t xml:space="preserve">50 000 EUR / щорічний платіж; </w:t>
      </w:r>
      <w:r>
        <w:rPr>
          <w:rFonts w:ascii="Times New Roman" w:hAnsi="Times New Roman" w:cs="Times New Roman"/>
          <w:sz w:val="28"/>
          <w:szCs w:val="28"/>
        </w:rPr>
        <w:t>букмекерська діяльність</w:t>
      </w:r>
      <w:r w:rsidRPr="00911602">
        <w:rPr>
          <w:rFonts w:ascii="Times New Roman" w:hAnsi="Times New Roman" w:cs="Times New Roman"/>
          <w:sz w:val="28"/>
          <w:szCs w:val="28"/>
        </w:rPr>
        <w:t xml:space="preserve"> – 500 EUR / щомісячний платіж з одного пункту</w:t>
      </w:r>
      <w:r>
        <w:rPr>
          <w:rFonts w:ascii="Times New Roman" w:hAnsi="Times New Roman" w:cs="Times New Roman"/>
          <w:sz w:val="28"/>
          <w:szCs w:val="28"/>
        </w:rPr>
        <w:t>, г</w:t>
      </w:r>
      <w:r w:rsidRPr="00911602">
        <w:rPr>
          <w:rFonts w:ascii="Times New Roman" w:hAnsi="Times New Roman" w:cs="Times New Roman"/>
          <w:sz w:val="28"/>
          <w:szCs w:val="28"/>
        </w:rPr>
        <w:t xml:space="preserve">ральні автомати – 50 EUR / щомісячний платіж з одного </w:t>
      </w:r>
      <w:r w:rsidRPr="00911602">
        <w:rPr>
          <w:rFonts w:ascii="Times New Roman" w:hAnsi="Times New Roman" w:cs="Times New Roman"/>
          <w:sz w:val="28"/>
          <w:szCs w:val="28"/>
        </w:rPr>
        <w:lastRenderedPageBreak/>
        <w:t>автомату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911602">
        <w:rPr>
          <w:rFonts w:ascii="Times New Roman" w:hAnsi="Times New Roman" w:cs="Times New Roman"/>
          <w:sz w:val="28"/>
          <w:szCs w:val="28"/>
        </w:rPr>
        <w:t>нлайн gambling – 10,000 EUR / щомісячний платіж для усіх видів ігор, для всіх видів діяльності встановлено ставку податку 10% від GGR</w:t>
      </w:r>
      <w:r w:rsidRPr="006E6E7D">
        <w:rPr>
          <w:rFonts w:ascii="Times New Roman" w:hAnsi="Times New Roman" w:cs="Times New Roman"/>
          <w:sz w:val="28"/>
          <w:szCs w:val="28"/>
        </w:rPr>
        <w:t>.</w:t>
      </w:r>
      <w:r w:rsidR="00D5331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2C1C2" w14:textId="77777777" w:rsidR="00156F46" w:rsidRDefault="00D5331A" w:rsidP="00156F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D5331A">
        <w:rPr>
          <w:rFonts w:ascii="Times New Roman" w:hAnsi="Times New Roman" w:cs="Times New Roman"/>
          <w:b/>
          <w:sz w:val="28"/>
          <w:szCs w:val="28"/>
        </w:rPr>
        <w:t>Швеції</w:t>
      </w:r>
      <w:r>
        <w:rPr>
          <w:rFonts w:ascii="Times New Roman" w:hAnsi="Times New Roman" w:cs="Times New Roman"/>
          <w:sz w:val="28"/>
          <w:szCs w:val="28"/>
        </w:rPr>
        <w:t xml:space="preserve"> вартість ліцензій для онлайн казино</w:t>
      </w:r>
      <w:r w:rsidRPr="00D5331A">
        <w:rPr>
          <w:rFonts w:ascii="Times New Roman" w:hAnsi="Times New Roman" w:cs="Times New Roman"/>
          <w:sz w:val="28"/>
          <w:szCs w:val="28"/>
        </w:rPr>
        <w:t xml:space="preserve"> – 39 600 EUR, букмекерської діяльності - 39 600 EUR, турнірів з покеру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D5331A">
        <w:rPr>
          <w:rFonts w:ascii="Times New Roman" w:hAnsi="Times New Roman" w:cs="Times New Roman"/>
          <w:sz w:val="28"/>
          <w:szCs w:val="28"/>
        </w:rPr>
        <w:t>396 – 2475 EUR (в залежності від кількості турнірів)  та додатково   43 650 EUR – за перший рік для кожної ліцензії, GGR 18%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73936C" w14:textId="447C58AD" w:rsidR="00B95717" w:rsidRPr="00156F46" w:rsidRDefault="00464348" w:rsidP="00156F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Цей </w:t>
      </w:r>
      <w:r w:rsidR="002723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законопроект спрямований на </w:t>
      </w:r>
      <w:r w:rsidR="00272312" w:rsidRPr="002311AD">
        <w:rPr>
          <w:rFonts w:ascii="Times New Roman" w:hAnsi="Times New Roman"/>
          <w:spacing w:val="-6"/>
          <w:kern w:val="1"/>
          <w:sz w:val="28"/>
          <w:szCs w:val="28"/>
        </w:rPr>
        <w:t xml:space="preserve">запровадження збалансованої системи оподаткування </w:t>
      </w:r>
      <w:r w:rsidR="00272312" w:rsidRPr="002311AD">
        <w:rPr>
          <w:rFonts w:ascii="Times New Roman" w:hAnsi="Times New Roman"/>
          <w:kern w:val="1"/>
          <w:sz w:val="28"/>
          <w:szCs w:val="28"/>
        </w:rPr>
        <w:t>діяльності щодо організації та проведення азартних ігор</w:t>
      </w:r>
      <w:r w:rsidR="00272312">
        <w:rPr>
          <w:rFonts w:ascii="Times New Roman" w:hAnsi="Times New Roman"/>
          <w:kern w:val="1"/>
          <w:sz w:val="28"/>
          <w:szCs w:val="28"/>
        </w:rPr>
        <w:t xml:space="preserve"> та лотерей з урахуванням вартості ліцензій та інших організаційних фінансових, кваліфікаційних вимог до організаторів азартних ігор, операторів лотерей </w:t>
      </w:r>
      <w:r w:rsidR="00272312" w:rsidRPr="002311AD">
        <w:rPr>
          <w:rFonts w:ascii="Times New Roman" w:hAnsi="Times New Roman"/>
          <w:kern w:val="1"/>
          <w:sz w:val="28"/>
          <w:szCs w:val="28"/>
        </w:rPr>
        <w:t xml:space="preserve">за для </w:t>
      </w:r>
      <w:r w:rsidR="00272312" w:rsidRPr="002311AD">
        <w:rPr>
          <w:rFonts w:ascii="Times New Roman" w:hAnsi="Times New Roman"/>
          <w:sz w:val="28"/>
          <w:szCs w:val="28"/>
        </w:rPr>
        <w:t>утворення сприятливих умов для виведення з тіні та легальної роботи сфери азартних ігор в Україні</w:t>
      </w:r>
      <w:r w:rsidR="00272312" w:rsidRPr="002311AD">
        <w:rPr>
          <w:rFonts w:ascii="Times New Roman" w:hAnsi="Times New Roman"/>
          <w:spacing w:val="-6"/>
          <w:kern w:val="1"/>
          <w:sz w:val="28"/>
          <w:szCs w:val="28"/>
        </w:rPr>
        <w:t>, залучення іноземних інвесторів, створення додаткових офіційних робочих місць та збільшення податкових надходжень до Державного бюджету України</w:t>
      </w:r>
      <w:r w:rsidR="00272312">
        <w:rPr>
          <w:rFonts w:ascii="Times New Roman" w:hAnsi="Times New Roman"/>
          <w:spacing w:val="-6"/>
          <w:kern w:val="1"/>
          <w:sz w:val="28"/>
          <w:szCs w:val="28"/>
        </w:rPr>
        <w:t>.</w:t>
      </w:r>
    </w:p>
    <w:p w14:paraId="17877E7F" w14:textId="36CDA7CE" w:rsidR="00004E20" w:rsidRPr="00B5222C" w:rsidRDefault="00004E20" w:rsidP="00B93C0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22C">
        <w:rPr>
          <w:rFonts w:ascii="Times New Roman" w:hAnsi="Times New Roman" w:cs="Times New Roman"/>
          <w:b/>
          <w:bCs/>
          <w:sz w:val="28"/>
          <w:szCs w:val="28"/>
        </w:rPr>
        <w:t>Цілі та завдання прийняття проекту Закону</w:t>
      </w:r>
    </w:p>
    <w:p w14:paraId="00361B9B" w14:textId="285C0297" w:rsidR="00B5222C" w:rsidRPr="00B5222C" w:rsidRDefault="00B5222C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2C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583D7E" w:rsidRPr="00B5222C">
        <w:rPr>
          <w:rFonts w:ascii="Times New Roman" w:hAnsi="Times New Roman" w:cs="Times New Roman"/>
          <w:sz w:val="28"/>
          <w:szCs w:val="28"/>
        </w:rPr>
        <w:t>законопроекту</w:t>
      </w:r>
      <w:r w:rsidRPr="00B5222C">
        <w:rPr>
          <w:rFonts w:ascii="Times New Roman" w:hAnsi="Times New Roman" w:cs="Times New Roman"/>
          <w:sz w:val="28"/>
          <w:szCs w:val="28"/>
        </w:rPr>
        <w:t xml:space="preserve"> є </w:t>
      </w:r>
      <w:r w:rsidR="00243DF2">
        <w:rPr>
          <w:rFonts w:ascii="Times New Roman" w:hAnsi="Times New Roman" w:cs="Times New Roman"/>
          <w:sz w:val="28"/>
          <w:szCs w:val="28"/>
        </w:rPr>
        <w:t xml:space="preserve">утворення сприятливих умов для </w:t>
      </w:r>
      <w:r>
        <w:rPr>
          <w:rFonts w:ascii="Times New Roman" w:hAnsi="Times New Roman" w:cs="Times New Roman"/>
          <w:sz w:val="28"/>
          <w:szCs w:val="28"/>
        </w:rPr>
        <w:t xml:space="preserve">виведення з тіні </w:t>
      </w:r>
      <w:r w:rsidR="00243DF2">
        <w:rPr>
          <w:rFonts w:ascii="Times New Roman" w:hAnsi="Times New Roman" w:cs="Times New Roman"/>
          <w:sz w:val="28"/>
          <w:szCs w:val="28"/>
        </w:rPr>
        <w:t xml:space="preserve">та легальної роботи </w:t>
      </w:r>
      <w:r w:rsidR="00243DF2" w:rsidRPr="00B5222C">
        <w:rPr>
          <w:rFonts w:ascii="Times New Roman" w:hAnsi="Times New Roman" w:cs="Times New Roman"/>
          <w:sz w:val="28"/>
          <w:szCs w:val="28"/>
        </w:rPr>
        <w:t>сфер</w:t>
      </w:r>
      <w:r w:rsidR="00243DF2">
        <w:rPr>
          <w:rFonts w:ascii="Times New Roman" w:hAnsi="Times New Roman" w:cs="Times New Roman"/>
          <w:sz w:val="28"/>
          <w:szCs w:val="28"/>
        </w:rPr>
        <w:t>и</w:t>
      </w:r>
      <w:r w:rsidR="00243DF2" w:rsidRPr="00B5222C">
        <w:rPr>
          <w:rFonts w:ascii="Times New Roman" w:hAnsi="Times New Roman" w:cs="Times New Roman"/>
          <w:sz w:val="28"/>
          <w:szCs w:val="28"/>
        </w:rPr>
        <w:t xml:space="preserve"> азартних ігор </w:t>
      </w:r>
      <w:r w:rsidR="00243DF2">
        <w:rPr>
          <w:rFonts w:ascii="Times New Roman" w:hAnsi="Times New Roman" w:cs="Times New Roman"/>
          <w:sz w:val="28"/>
          <w:szCs w:val="28"/>
        </w:rPr>
        <w:t xml:space="preserve">в Україні </w:t>
      </w:r>
      <w:r>
        <w:rPr>
          <w:rFonts w:ascii="Times New Roman" w:hAnsi="Times New Roman" w:cs="Times New Roman"/>
          <w:sz w:val="28"/>
          <w:szCs w:val="28"/>
        </w:rPr>
        <w:t>шляхом використання стимулюючої ролі податків</w:t>
      </w:r>
      <w:r w:rsidR="00243D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04DE24" w14:textId="58999E7E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04E20">
        <w:rPr>
          <w:rFonts w:ascii="Times New Roman" w:hAnsi="Times New Roman" w:cs="Times New Roman"/>
          <w:b/>
          <w:bCs/>
          <w:sz w:val="28"/>
          <w:szCs w:val="28"/>
        </w:rPr>
        <w:tab/>
        <w:t>Загальна характеристика і основні положення проекту Закону</w:t>
      </w:r>
    </w:p>
    <w:p w14:paraId="5E35CADD" w14:textId="4F534535" w:rsidR="007F21DA" w:rsidRDefault="00513ACE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Законопроектом встановлюється порядок та ставки оподаткування діяльності з організації та проведення азартних ігор</w:t>
      </w:r>
      <w:r w:rsidR="00464348">
        <w:rPr>
          <w:rFonts w:ascii="Times New Roman" w:hAnsi="Times New Roman" w:cs="Times New Roman"/>
          <w:sz w:val="28"/>
          <w:szCs w:val="28"/>
        </w:rPr>
        <w:t xml:space="preserve"> та лотерей</w:t>
      </w:r>
      <w:r w:rsidR="007F21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E4CE8D" w14:textId="4B54B7D2" w:rsidR="00464348" w:rsidRPr="002C4ACE" w:rsidRDefault="00464348" w:rsidP="004643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встановити </w:t>
      </w:r>
      <w:r w:rsidR="00BB6FDC">
        <w:rPr>
          <w:rFonts w:ascii="Times New Roman" w:hAnsi="Times New Roman" w:cs="Times New Roman"/>
          <w:sz w:val="28"/>
          <w:szCs w:val="28"/>
        </w:rPr>
        <w:t xml:space="preserve">єдину </w:t>
      </w:r>
      <w:r w:rsidRPr="002C4ACE">
        <w:rPr>
          <w:rFonts w:ascii="Times New Roman" w:hAnsi="Times New Roman" w:cs="Times New Roman"/>
          <w:sz w:val="28"/>
          <w:szCs w:val="28"/>
        </w:rPr>
        <w:t>ставку податку на дохід (валовий ігровий дохід), отриманий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від організації та проведення азартних ігор </w:t>
      </w:r>
      <w:r w:rsidR="00BB6FDC">
        <w:rPr>
          <w:rFonts w:ascii="Times New Roman" w:hAnsi="Times New Roman" w:cs="Times New Roman"/>
          <w:sz w:val="28"/>
          <w:szCs w:val="28"/>
        </w:rPr>
        <w:t xml:space="preserve">та випуску та проведення лотерей – 10%. </w:t>
      </w:r>
    </w:p>
    <w:p w14:paraId="1ED4B93D" w14:textId="2E20885E" w:rsidR="00464348" w:rsidRPr="002C4ACE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Крім податку на дохід, законопроектом передбачаєть</w:t>
      </w:r>
      <w:r w:rsidR="00BB6FDC">
        <w:rPr>
          <w:rFonts w:ascii="Times New Roman" w:hAnsi="Times New Roman" w:cs="Times New Roman"/>
          <w:sz w:val="28"/>
          <w:szCs w:val="28"/>
        </w:rPr>
        <w:t xml:space="preserve">ся, що суб’єкти господарювання також </w:t>
      </w:r>
      <w:r w:rsidRPr="002C4ACE">
        <w:rPr>
          <w:rFonts w:ascii="Times New Roman" w:hAnsi="Times New Roman" w:cs="Times New Roman"/>
          <w:sz w:val="28"/>
          <w:szCs w:val="28"/>
        </w:rPr>
        <w:t>сплачуватимусь також податок на прибуток за загальною ставкою 18%. При цьому нарахований суб’єктом податок на дохід від такої діяльності є різницею та зменшує фінансовий результат до оподаткування такого суб’єкта.</w:t>
      </w:r>
    </w:p>
    <w:p w14:paraId="61D30D9C" w14:textId="77777777" w:rsidR="00464348" w:rsidRPr="002C4ACE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При здійсненні організаторами азартних ігор іншої діяльності передбачається нарахування та сплата ними податку на прибуток за базовою (основною) ставкою податку.</w:t>
      </w:r>
    </w:p>
    <w:p w14:paraId="2F4F1A33" w14:textId="458F71AD" w:rsidR="00D94AD9" w:rsidRDefault="00464348" w:rsidP="00D94AD9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 xml:space="preserve">Поряд з цим, проектом передбачається, що </w:t>
      </w:r>
      <w:r w:rsidR="0034086E">
        <w:rPr>
          <w:rFonts w:ascii="Times New Roman" w:hAnsi="Times New Roman" w:cs="Times New Roman"/>
          <w:sz w:val="28"/>
          <w:szCs w:val="28"/>
        </w:rPr>
        <w:t xml:space="preserve">великі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виграші </w:t>
      </w:r>
      <w:r w:rsidR="007C21C1">
        <w:rPr>
          <w:rFonts w:ascii="Times New Roman" w:hAnsi="Times New Roman" w:cs="Times New Roman"/>
          <w:sz w:val="28"/>
          <w:szCs w:val="28"/>
        </w:rPr>
        <w:t>(</w:t>
      </w:r>
      <w:r w:rsidR="00BB6FDC">
        <w:rPr>
          <w:rFonts w:ascii="Times New Roman" w:hAnsi="Times New Roman" w:cs="Times New Roman"/>
          <w:sz w:val="28"/>
          <w:szCs w:val="28"/>
        </w:rPr>
        <w:t xml:space="preserve">більше </w:t>
      </w:r>
      <w:r w:rsidR="007C21C1">
        <w:rPr>
          <w:rFonts w:ascii="Times New Roman" w:hAnsi="Times New Roman" w:cs="Times New Roman"/>
          <w:sz w:val="28"/>
          <w:szCs w:val="28"/>
        </w:rPr>
        <w:t xml:space="preserve">8 мінімальних заробітних плат) </w:t>
      </w:r>
      <w:r w:rsidR="00BB6FDC">
        <w:rPr>
          <w:rFonts w:ascii="Times New Roman" w:hAnsi="Times New Roman" w:cs="Times New Roman"/>
          <w:sz w:val="28"/>
          <w:szCs w:val="28"/>
        </w:rPr>
        <w:t>підлягають оподаткуванню</w:t>
      </w:r>
      <w:r w:rsidRPr="002C4ACE">
        <w:rPr>
          <w:rFonts w:ascii="Times New Roman" w:hAnsi="Times New Roman" w:cs="Times New Roman"/>
          <w:sz w:val="28"/>
          <w:szCs w:val="28"/>
        </w:rPr>
        <w:t xml:space="preserve"> податком на доходи фізи</w:t>
      </w:r>
      <w:r w:rsidR="00BB6FDC">
        <w:rPr>
          <w:rFonts w:ascii="Times New Roman" w:hAnsi="Times New Roman" w:cs="Times New Roman"/>
          <w:sz w:val="28"/>
          <w:szCs w:val="28"/>
        </w:rPr>
        <w:t>чних осіб та військовим збором</w:t>
      </w:r>
      <w:r w:rsidR="0034086E">
        <w:rPr>
          <w:rFonts w:ascii="Times New Roman" w:hAnsi="Times New Roman" w:cs="Times New Roman"/>
          <w:sz w:val="28"/>
          <w:szCs w:val="28"/>
        </w:rPr>
        <w:t>, що буде додатковим стимулом для виведення з тіні ринку грального бізнесу</w:t>
      </w:r>
      <w:r w:rsidR="00961913">
        <w:rPr>
          <w:rFonts w:ascii="Times New Roman" w:hAnsi="Times New Roman" w:cs="Times New Roman"/>
          <w:sz w:val="28"/>
          <w:szCs w:val="28"/>
        </w:rPr>
        <w:t>, адже на сьогодні передбачено оподаткування усіх виграшів незалежно від суми</w:t>
      </w:r>
      <w:r w:rsidR="00BB6FDC">
        <w:rPr>
          <w:rFonts w:ascii="Times New Roman" w:hAnsi="Times New Roman" w:cs="Times New Roman"/>
          <w:sz w:val="28"/>
          <w:szCs w:val="28"/>
        </w:rPr>
        <w:t>.</w:t>
      </w:r>
      <w:r w:rsidR="00D94AD9">
        <w:rPr>
          <w:rFonts w:ascii="Times New Roman" w:hAnsi="Times New Roman" w:cs="Times New Roman"/>
          <w:sz w:val="28"/>
          <w:szCs w:val="28"/>
        </w:rPr>
        <w:t xml:space="preserve"> Також уточнено, </w:t>
      </w:r>
      <w:r w:rsidR="00D94AD9" w:rsidRPr="009F08EF">
        <w:rPr>
          <w:rFonts w:ascii="Times New Roman" w:hAnsi="Times New Roman"/>
          <w:sz w:val="28"/>
          <w:szCs w:val="28"/>
        </w:rPr>
        <w:t xml:space="preserve">що при </w:t>
      </w:r>
      <w:r w:rsidR="00D94AD9" w:rsidRPr="009F08EF">
        <w:rPr>
          <w:rFonts w:ascii="Times New Roman" w:hAnsi="Times New Roman"/>
          <w:sz w:val="28"/>
          <w:szCs w:val="28"/>
        </w:rPr>
        <w:lastRenderedPageBreak/>
        <w:t xml:space="preserve">оподаткуванні виграшів в азартну гру в казино, залі гральних автоматів враховуватимуться витрати на участь у  такій грі, здійснені впродовж </w:t>
      </w:r>
      <w:r w:rsidR="00D94AD9">
        <w:rPr>
          <w:rFonts w:ascii="Times New Roman" w:hAnsi="Times New Roman"/>
          <w:sz w:val="28"/>
          <w:szCs w:val="28"/>
        </w:rPr>
        <w:t xml:space="preserve">24 годин до виграшу. </w:t>
      </w:r>
    </w:p>
    <w:p w14:paraId="751FC34F" w14:textId="0AEDFF81" w:rsidR="009F08EF" w:rsidRDefault="00D94AD9" w:rsidP="009F08EF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4086E" w:rsidRPr="009F08EF">
        <w:rPr>
          <w:rFonts w:ascii="Times New Roman" w:hAnsi="Times New Roman" w:cs="Times New Roman"/>
          <w:sz w:val="28"/>
          <w:szCs w:val="28"/>
        </w:rPr>
        <w:t xml:space="preserve">ропонується скасувати необґрунтовану потрійну плату за ліцензії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 </w:t>
      </w:r>
      <w:r w:rsidR="00A76F9C" w:rsidRPr="009F08EF">
        <w:rPr>
          <w:rFonts w:ascii="Times New Roman" w:hAnsi="Times New Roman" w:cs="Times New Roman"/>
          <w:sz w:val="28"/>
          <w:szCs w:val="28"/>
        </w:rPr>
        <w:t>за гральний автомат</w:t>
      </w:r>
      <w:r w:rsidR="009D5AC8" w:rsidRPr="009F08EF">
        <w:rPr>
          <w:rFonts w:ascii="Times New Roman" w:hAnsi="Times New Roman" w:cs="Times New Roman"/>
          <w:sz w:val="28"/>
          <w:szCs w:val="28"/>
        </w:rPr>
        <w:t>, натомість не запроваджувати нульову ставку податку на дохід</w:t>
      </w:r>
      <w:r w:rsidR="00A76F9C" w:rsidRPr="009F08EF">
        <w:rPr>
          <w:rFonts w:ascii="Times New Roman" w:hAnsi="Times New Roman" w:cs="Times New Roman"/>
          <w:sz w:val="28"/>
          <w:szCs w:val="28"/>
        </w:rPr>
        <w:t>.</w:t>
      </w:r>
      <w:r w:rsidR="009F08EF" w:rsidRPr="009F08EF">
        <w:rPr>
          <w:rFonts w:ascii="Times New Roman" w:hAnsi="Times New Roman"/>
          <w:sz w:val="28"/>
          <w:szCs w:val="28"/>
        </w:rPr>
        <w:t xml:space="preserve"> </w:t>
      </w:r>
      <w:r w:rsidR="009F08EF">
        <w:rPr>
          <w:rFonts w:ascii="Times New Roman" w:hAnsi="Times New Roman"/>
          <w:sz w:val="28"/>
          <w:szCs w:val="28"/>
        </w:rPr>
        <w:t xml:space="preserve">При доопрацюванні проекту </w:t>
      </w:r>
      <w:r w:rsidR="009F08EF" w:rsidRPr="009F08EF">
        <w:rPr>
          <w:rFonts w:ascii="Times New Roman" w:hAnsi="Times New Roman"/>
          <w:sz w:val="28"/>
          <w:szCs w:val="28"/>
        </w:rPr>
        <w:t>уточнено норму, щодо скасування потрійної плати за ліцензії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</w:t>
      </w:r>
      <w:r w:rsidR="009F08EF" w:rsidRPr="009F08EF">
        <w:rPr>
          <w:rFonts w:ascii="Times New Roman" w:hAnsi="Times New Roman" w:cs="Times New Roman"/>
          <w:sz w:val="28"/>
          <w:szCs w:val="28"/>
        </w:rPr>
        <w:t xml:space="preserve"> за гральний автомат та передбачено, що вже сплачені потрійні платежі зараховуються організаторам азартних ігор в рахунок майбутніх щорічних платежів за ліцензію;</w:t>
      </w:r>
    </w:p>
    <w:p w14:paraId="771949F0" w14:textId="4DF313DE" w:rsidR="009F08EF" w:rsidRPr="009F08EF" w:rsidRDefault="009F08EF" w:rsidP="009F08EF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 час доопрацювання проекту </w:t>
      </w:r>
      <w:r w:rsidR="00D94AD9">
        <w:rPr>
          <w:rFonts w:ascii="Times New Roman" w:hAnsi="Times New Roman" w:cs="Times New Roman"/>
          <w:sz w:val="28"/>
          <w:szCs w:val="28"/>
        </w:rPr>
        <w:t xml:space="preserve">враховано зауваження щодо складності для іноземців грати в азартні ігри в Україні і з метою залучення до азартних ігор у казино насамперед іноземців </w:t>
      </w:r>
      <w:r>
        <w:rPr>
          <w:rFonts w:ascii="Times New Roman" w:hAnsi="Times New Roman"/>
          <w:sz w:val="28"/>
          <w:szCs w:val="28"/>
        </w:rPr>
        <w:t>п</w:t>
      </w:r>
      <w:r w:rsidRPr="009F08EF">
        <w:rPr>
          <w:rFonts w:ascii="Times New Roman" w:hAnsi="Times New Roman"/>
          <w:sz w:val="28"/>
          <w:szCs w:val="28"/>
        </w:rPr>
        <w:t>ередбачено</w:t>
      </w:r>
      <w:r w:rsidR="00D94AD9">
        <w:rPr>
          <w:rFonts w:ascii="Times New Roman" w:hAnsi="Times New Roman"/>
          <w:sz w:val="28"/>
          <w:szCs w:val="28"/>
        </w:rPr>
        <w:t xml:space="preserve"> з </w:t>
      </w:r>
      <w:r w:rsidRPr="009F08EF">
        <w:rPr>
          <w:rFonts w:ascii="Times New Roman" w:hAnsi="Times New Roman"/>
          <w:sz w:val="28"/>
          <w:szCs w:val="28"/>
        </w:rPr>
        <w:t>метою усунення проблем з утриманням податку на доходи фізичних осіб з нерезидентів при виплаті належних їм сум виграшів впровадження знеособленої звітності для податкових агенті</w:t>
      </w:r>
      <w:r w:rsidR="00D94AD9">
        <w:rPr>
          <w:rFonts w:ascii="Times New Roman" w:hAnsi="Times New Roman"/>
          <w:sz w:val="28"/>
          <w:szCs w:val="28"/>
        </w:rPr>
        <w:t>в</w:t>
      </w:r>
      <w:r w:rsidRPr="009F08EF">
        <w:rPr>
          <w:rFonts w:ascii="Times New Roman" w:hAnsi="Times New Roman"/>
          <w:sz w:val="28"/>
          <w:szCs w:val="28"/>
        </w:rPr>
        <w:t xml:space="preserve"> шляхом відображення загальної суми нарахованих (виплачених) у звітному податковому періоді доходів у вигляді виграшів (призів) та загальної суми утриманого з них податку (з розбивкою по місяцях);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08EF">
        <w:rPr>
          <w:rFonts w:ascii="Times New Roman" w:hAnsi="Times New Roman" w:cs="Times New Roman"/>
          <w:sz w:val="28"/>
          <w:szCs w:val="28"/>
        </w:rPr>
        <w:t xml:space="preserve">надано доручення Національному банку України переглянути для наземних казино граничні суми розрахунків готівкою з фізичними особами. </w:t>
      </w:r>
    </w:p>
    <w:p w14:paraId="7321B0B0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6E843550" w14:textId="698C72B1" w:rsidR="00004E20" w:rsidRPr="007F21DA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 Нормативно-правову базу у цій сфері правового регулювання стано</w:t>
      </w:r>
      <w:r w:rsidR="00464348">
        <w:rPr>
          <w:rFonts w:ascii="Times New Roman" w:hAnsi="Times New Roman" w:cs="Times New Roman"/>
          <w:sz w:val="28"/>
          <w:szCs w:val="28"/>
        </w:rPr>
        <w:t>в</w:t>
      </w:r>
      <w:r w:rsidR="00951366">
        <w:rPr>
          <w:rFonts w:ascii="Times New Roman" w:hAnsi="Times New Roman" w:cs="Times New Roman"/>
          <w:sz w:val="28"/>
          <w:szCs w:val="28"/>
        </w:rPr>
        <w:t>ить</w:t>
      </w:r>
      <w:r w:rsidRPr="00004E20">
        <w:rPr>
          <w:rFonts w:ascii="Times New Roman" w:hAnsi="Times New Roman" w:cs="Times New Roman"/>
          <w:sz w:val="28"/>
          <w:szCs w:val="28"/>
        </w:rPr>
        <w:t xml:space="preserve">   Податковий кодекс України</w:t>
      </w:r>
      <w:r w:rsidR="00515EE2">
        <w:rPr>
          <w:rFonts w:ascii="Times New Roman" w:hAnsi="Times New Roman" w:cs="Times New Roman"/>
          <w:sz w:val="28"/>
          <w:szCs w:val="28"/>
        </w:rPr>
        <w:t xml:space="preserve">, Закон України </w:t>
      </w:r>
      <w:r w:rsidR="00515EE2" w:rsidRPr="008219EE">
        <w:rPr>
          <w:rFonts w:ascii="Times New Roman" w:hAnsi="Times New Roman" w:cs="Times New Roman"/>
          <w:sz w:val="28"/>
          <w:szCs w:val="28"/>
        </w:rPr>
        <w:t>«</w:t>
      </w:r>
      <w:r w:rsidR="00515EE2">
        <w:rPr>
          <w:rFonts w:ascii="Times New Roman" w:hAnsi="Times New Roman" w:cs="Times New Roman"/>
          <w:sz w:val="28"/>
          <w:szCs w:val="28"/>
        </w:rPr>
        <w:t>П</w:t>
      </w:r>
      <w:r w:rsidR="00515EE2" w:rsidRPr="008219EE">
        <w:rPr>
          <w:rFonts w:ascii="Times New Roman" w:hAnsi="Times New Roman" w:cs="Times New Roman"/>
          <w:sz w:val="28"/>
          <w:szCs w:val="28"/>
        </w:rPr>
        <w:t>ро державне регулювання діяльності щодо організації та проведення азартних ігор»</w:t>
      </w:r>
      <w:r w:rsidR="00515EE2">
        <w:rPr>
          <w:rFonts w:ascii="Times New Roman" w:hAnsi="Times New Roman" w:cs="Times New Roman"/>
          <w:sz w:val="28"/>
          <w:szCs w:val="28"/>
        </w:rPr>
        <w:t xml:space="preserve"> </w:t>
      </w:r>
      <w:r w:rsidR="00515EE2" w:rsidRPr="00E42AE5">
        <w:rPr>
          <w:rFonts w:ascii="Times New Roman" w:hAnsi="Times New Roman" w:cs="Times New Roman"/>
          <w:sz w:val="28"/>
          <w:szCs w:val="28"/>
        </w:rPr>
        <w:t>№ 768-IX</w:t>
      </w:r>
      <w:r w:rsidR="00515E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48D83B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004E20">
        <w:rPr>
          <w:rFonts w:ascii="Times New Roman" w:hAnsi="Times New Roman" w:cs="Times New Roman"/>
          <w:b/>
          <w:bCs/>
          <w:sz w:val="28"/>
          <w:szCs w:val="28"/>
        </w:rPr>
        <w:tab/>
        <w:t>Фінансово-економічне обґрунтування</w:t>
      </w:r>
    </w:p>
    <w:p w14:paraId="6C9C0D79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Прийняття цього Закону не потребує збільшення видатків Державного бюджету України. </w:t>
      </w:r>
    </w:p>
    <w:p w14:paraId="40182D79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6. Прогноз соціально-економічних та інших наслідків прийняття проекту Закону</w:t>
      </w:r>
    </w:p>
    <w:p w14:paraId="4F5B76D7" w14:textId="54740388" w:rsidR="00004E20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Прийняття проекту Закону дасть можливість вивести з тіні ринок </w:t>
      </w:r>
      <w:r w:rsidR="00451FA6">
        <w:rPr>
          <w:rFonts w:ascii="Times New Roman" w:hAnsi="Times New Roman" w:cs="Times New Roman"/>
          <w:sz w:val="28"/>
          <w:szCs w:val="28"/>
        </w:rPr>
        <w:t>азартних ігор, сприятиме в</w:t>
      </w:r>
      <w:r w:rsidRPr="00004E20">
        <w:rPr>
          <w:rFonts w:ascii="Times New Roman" w:hAnsi="Times New Roman" w:cs="Times New Roman"/>
          <w:sz w:val="28"/>
          <w:szCs w:val="28"/>
        </w:rPr>
        <w:t>становленн</w:t>
      </w:r>
      <w:r w:rsidR="00451FA6">
        <w:rPr>
          <w:rFonts w:ascii="Times New Roman" w:hAnsi="Times New Roman" w:cs="Times New Roman"/>
          <w:sz w:val="28"/>
          <w:szCs w:val="28"/>
        </w:rPr>
        <w:t>ю</w:t>
      </w:r>
      <w:r w:rsidRPr="00004E20">
        <w:rPr>
          <w:rFonts w:ascii="Times New Roman" w:hAnsi="Times New Roman" w:cs="Times New Roman"/>
          <w:sz w:val="28"/>
          <w:szCs w:val="28"/>
        </w:rPr>
        <w:t xml:space="preserve"> справедливого та прозорого оподаткування </w:t>
      </w:r>
      <w:r w:rsidR="00451FA6">
        <w:rPr>
          <w:rFonts w:ascii="Times New Roman" w:hAnsi="Times New Roman" w:cs="Times New Roman"/>
          <w:sz w:val="28"/>
          <w:szCs w:val="28"/>
        </w:rPr>
        <w:t xml:space="preserve">організаторів цих ігор, </w:t>
      </w:r>
      <w:r w:rsidRPr="00004E20">
        <w:rPr>
          <w:rFonts w:ascii="Times New Roman" w:hAnsi="Times New Roman" w:cs="Times New Roman"/>
          <w:sz w:val="28"/>
          <w:szCs w:val="28"/>
        </w:rPr>
        <w:t xml:space="preserve">покращенню інвестиційного клімату в </w:t>
      </w:r>
      <w:r w:rsidRPr="00004E20">
        <w:rPr>
          <w:rFonts w:ascii="Times New Roman" w:hAnsi="Times New Roman" w:cs="Times New Roman"/>
          <w:sz w:val="28"/>
          <w:szCs w:val="28"/>
        </w:rPr>
        <w:lastRenderedPageBreak/>
        <w:t>країні та підвищенню рівня України в світових рейтингах щодо ведення бізнесу.</w:t>
      </w:r>
    </w:p>
    <w:p w14:paraId="01B8480F" w14:textId="7F55CE7C" w:rsidR="003450DC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  <w:gridCol w:w="4170"/>
      </w:tblGrid>
      <w:tr w:rsidR="00464348" w14:paraId="17374410" w14:textId="77777777" w:rsidTr="00C94D03">
        <w:tc>
          <w:tcPr>
            <w:tcW w:w="4901" w:type="dxa"/>
          </w:tcPr>
          <w:p w14:paraId="4390784C" w14:textId="72400444" w:rsidR="00464348" w:rsidRDefault="0044735C" w:rsidP="00E73B19">
            <w:pPr>
              <w:rPr>
                <w:szCs w:val="28"/>
              </w:rPr>
            </w:pPr>
            <w:r>
              <w:rPr>
                <w:szCs w:val="28"/>
              </w:rPr>
              <w:t>Народний депутат</w:t>
            </w:r>
            <w:r w:rsidR="00464348">
              <w:rPr>
                <w:szCs w:val="28"/>
              </w:rPr>
              <w:t xml:space="preserve"> України –                                                          </w:t>
            </w:r>
          </w:p>
          <w:p w14:paraId="1863E0FD" w14:textId="3EE8147D" w:rsidR="00464348" w:rsidRPr="00EB3350" w:rsidRDefault="0044735C" w:rsidP="00E73B19">
            <w:pPr>
              <w:rPr>
                <w:szCs w:val="28"/>
                <w:lang w:val="ru-RU"/>
              </w:rPr>
            </w:pPr>
            <w:r>
              <w:rPr>
                <w:szCs w:val="28"/>
              </w:rPr>
              <w:t>член</w:t>
            </w:r>
            <w:r w:rsidR="00464348">
              <w:rPr>
                <w:szCs w:val="28"/>
              </w:rPr>
              <w:t xml:space="preserve"> Комітету Верховної Ради України з питань фінансів, податкової та митної політики</w:t>
            </w:r>
          </w:p>
          <w:p w14:paraId="4ABB1A88" w14:textId="77777777" w:rsidR="00464348" w:rsidRDefault="00464348" w:rsidP="00E73B19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Cs w:val="28"/>
              </w:rPr>
            </w:pPr>
          </w:p>
        </w:tc>
        <w:tc>
          <w:tcPr>
            <w:tcW w:w="4170" w:type="dxa"/>
          </w:tcPr>
          <w:p w14:paraId="06F5BE55" w14:textId="77777777" w:rsidR="00464348" w:rsidRDefault="00464348" w:rsidP="00E73B19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О. Р. Марусяк</w:t>
            </w:r>
          </w:p>
          <w:p w14:paraId="1C937E13" w14:textId="77777777" w:rsidR="00464348" w:rsidRDefault="00464348" w:rsidP="00E73B19">
            <w:pPr>
              <w:jc w:val="right"/>
              <w:rPr>
                <w:i/>
                <w:szCs w:val="28"/>
                <w:lang w:val="ru-RU"/>
              </w:rPr>
            </w:pPr>
            <w:r>
              <w:rPr>
                <w:i/>
                <w:szCs w:val="28"/>
              </w:rPr>
              <w:t>(Посвідчення №51)</w:t>
            </w:r>
          </w:p>
          <w:p w14:paraId="61586568" w14:textId="77777777" w:rsidR="00464348" w:rsidRDefault="00464348" w:rsidP="00E73B19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Cs w:val="28"/>
              </w:rPr>
            </w:pPr>
          </w:p>
        </w:tc>
      </w:tr>
    </w:tbl>
    <w:p w14:paraId="46DE6236" w14:textId="5C6A8A42" w:rsidR="003450DC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46DB3E" w14:textId="77777777" w:rsidR="003450DC" w:rsidRPr="00004E20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C0ADDC" w14:textId="77777777" w:rsidR="000934E7" w:rsidRDefault="000934E7"/>
    <w:sectPr w:rsidR="000934E7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F3389" w14:textId="77777777" w:rsidR="008E45A8" w:rsidRDefault="008E45A8" w:rsidP="00BF367C">
      <w:pPr>
        <w:spacing w:after="0" w:line="240" w:lineRule="auto"/>
      </w:pPr>
      <w:r>
        <w:separator/>
      </w:r>
    </w:p>
  </w:endnote>
  <w:endnote w:type="continuationSeparator" w:id="0">
    <w:p w14:paraId="2BFD32E7" w14:textId="77777777" w:rsidR="008E45A8" w:rsidRDefault="008E45A8" w:rsidP="00BF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8942817"/>
      <w:docPartObj>
        <w:docPartGallery w:val="Page Numbers (Bottom of Page)"/>
        <w:docPartUnique/>
      </w:docPartObj>
    </w:sdtPr>
    <w:sdtEndPr/>
    <w:sdtContent>
      <w:p w14:paraId="5BE98F1A" w14:textId="67566B96" w:rsidR="00BF367C" w:rsidRDefault="00BF367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EDC">
          <w:rPr>
            <w:noProof/>
          </w:rPr>
          <w:t>2</w:t>
        </w:r>
        <w:r>
          <w:fldChar w:fldCharType="end"/>
        </w:r>
      </w:p>
    </w:sdtContent>
  </w:sdt>
  <w:p w14:paraId="34EBFDF4" w14:textId="77777777" w:rsidR="00BF367C" w:rsidRDefault="00BF367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3CDCB" w14:textId="77777777" w:rsidR="008E45A8" w:rsidRDefault="008E45A8" w:rsidP="00BF367C">
      <w:pPr>
        <w:spacing w:after="0" w:line="240" w:lineRule="auto"/>
      </w:pPr>
      <w:r>
        <w:separator/>
      </w:r>
    </w:p>
  </w:footnote>
  <w:footnote w:type="continuationSeparator" w:id="0">
    <w:p w14:paraId="31B8C256" w14:textId="77777777" w:rsidR="008E45A8" w:rsidRDefault="008E45A8" w:rsidP="00BF3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42EFA"/>
    <w:multiLevelType w:val="hybridMultilevel"/>
    <w:tmpl w:val="EFF88B8E"/>
    <w:lvl w:ilvl="0" w:tplc="AD82D8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4C9C"/>
    <w:multiLevelType w:val="hybridMultilevel"/>
    <w:tmpl w:val="91445AFE"/>
    <w:lvl w:ilvl="0" w:tplc="77F0D8F4">
      <w:start w:val="170"/>
      <w:numFmt w:val="bullet"/>
      <w:lvlText w:val="-"/>
      <w:lvlJc w:val="left"/>
      <w:pPr>
        <w:ind w:left="11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34"/>
    <w:rsid w:val="0000497E"/>
    <w:rsid w:val="00004E20"/>
    <w:rsid w:val="00027612"/>
    <w:rsid w:val="000700B8"/>
    <w:rsid w:val="000934E7"/>
    <w:rsid w:val="000C346C"/>
    <w:rsid w:val="00156F46"/>
    <w:rsid w:val="00197C56"/>
    <w:rsid w:val="001F10B8"/>
    <w:rsid w:val="00243DF2"/>
    <w:rsid w:val="00272312"/>
    <w:rsid w:val="002B558C"/>
    <w:rsid w:val="0034086E"/>
    <w:rsid w:val="003450DC"/>
    <w:rsid w:val="00383BC5"/>
    <w:rsid w:val="00390E34"/>
    <w:rsid w:val="003C01D3"/>
    <w:rsid w:val="003C137A"/>
    <w:rsid w:val="003D581A"/>
    <w:rsid w:val="0044735C"/>
    <w:rsid w:val="00451FA6"/>
    <w:rsid w:val="00464348"/>
    <w:rsid w:val="0046727B"/>
    <w:rsid w:val="004E2A8B"/>
    <w:rsid w:val="00513ACE"/>
    <w:rsid w:val="00515EE2"/>
    <w:rsid w:val="00583D7E"/>
    <w:rsid w:val="005C65EE"/>
    <w:rsid w:val="00602E19"/>
    <w:rsid w:val="00637039"/>
    <w:rsid w:val="00641909"/>
    <w:rsid w:val="00690E0B"/>
    <w:rsid w:val="006E6E7D"/>
    <w:rsid w:val="0075393F"/>
    <w:rsid w:val="007C21C1"/>
    <w:rsid w:val="007E7199"/>
    <w:rsid w:val="007F21DA"/>
    <w:rsid w:val="008219EE"/>
    <w:rsid w:val="008C7B8C"/>
    <w:rsid w:val="008E45A8"/>
    <w:rsid w:val="00911602"/>
    <w:rsid w:val="00951366"/>
    <w:rsid w:val="00961913"/>
    <w:rsid w:val="009D5AC8"/>
    <w:rsid w:val="009F08EF"/>
    <w:rsid w:val="00A21321"/>
    <w:rsid w:val="00A214FF"/>
    <w:rsid w:val="00A230F7"/>
    <w:rsid w:val="00A535F0"/>
    <w:rsid w:val="00A76F9C"/>
    <w:rsid w:val="00A87FF2"/>
    <w:rsid w:val="00AB4D35"/>
    <w:rsid w:val="00AF46A8"/>
    <w:rsid w:val="00B5222C"/>
    <w:rsid w:val="00B72ABC"/>
    <w:rsid w:val="00B75EDC"/>
    <w:rsid w:val="00B93C0B"/>
    <w:rsid w:val="00B95717"/>
    <w:rsid w:val="00BB3A3A"/>
    <w:rsid w:val="00BB6FDC"/>
    <w:rsid w:val="00BD71D6"/>
    <w:rsid w:val="00BE44E8"/>
    <w:rsid w:val="00BF2AF9"/>
    <w:rsid w:val="00BF367C"/>
    <w:rsid w:val="00C94D03"/>
    <w:rsid w:val="00D5331A"/>
    <w:rsid w:val="00D709F3"/>
    <w:rsid w:val="00D94AD9"/>
    <w:rsid w:val="00DC40D7"/>
    <w:rsid w:val="00DE326D"/>
    <w:rsid w:val="00E42AE5"/>
    <w:rsid w:val="00E757E9"/>
    <w:rsid w:val="00FB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05F8A"/>
  <w15:chartTrackingRefBased/>
  <w15:docId w15:val="{63B3CE46-D510-4EBB-979F-FA6B84030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E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3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93C0B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99"/>
    <w:rsid w:val="00464348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F36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F367C"/>
  </w:style>
  <w:style w:type="paragraph" w:styleId="a9">
    <w:name w:val="footer"/>
    <w:basedOn w:val="a"/>
    <w:link w:val="aa"/>
    <w:uiPriority w:val="99"/>
    <w:unhideWhenUsed/>
    <w:rsid w:val="00BF36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F3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291E5-0272-448D-8341-EBE633067A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CF0B02-170C-41EE-84A5-3F4077541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D64D7D-B978-4FB0-995D-92358FE03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DCF04B-B7E9-4E0F-8D36-92ED8C5D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4706</Words>
  <Characters>2683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2021-06-25T07:25:00Z</dcterms:created>
  <dcterms:modified xsi:type="dcterms:W3CDTF">2021-06-25T07:25:00Z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