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AFC" w:rsidRPr="00573AFC" w:rsidRDefault="00573AFC" w:rsidP="00573AFC">
      <w:pPr>
        <w:shd w:val="clear" w:color="auto" w:fill="FFFFFF"/>
        <w:spacing w:after="0" w:line="240" w:lineRule="auto"/>
        <w:jc w:val="both"/>
        <w:rPr>
          <w:rFonts w:ascii="Times New Roman" w:hAnsi="Times New Roman"/>
          <w:b/>
          <w:sz w:val="28"/>
          <w:szCs w:val="28"/>
          <w:lang w:val="uk-UA"/>
        </w:rPr>
      </w:pPr>
    </w:p>
    <w:p w:rsidR="00573AFC" w:rsidRPr="00573AFC" w:rsidRDefault="00573AFC" w:rsidP="00573AFC">
      <w:pPr>
        <w:shd w:val="clear" w:color="auto" w:fill="FFFFFF"/>
        <w:spacing w:after="0" w:line="240" w:lineRule="auto"/>
        <w:ind w:left="5664" w:firstLine="708"/>
        <w:jc w:val="both"/>
        <w:rPr>
          <w:rFonts w:ascii="Times New Roman" w:hAnsi="Times New Roman"/>
          <w:b/>
          <w:bCs/>
          <w:sz w:val="28"/>
          <w:szCs w:val="28"/>
          <w:lang w:val="uk-UA" w:eastAsia="ru-RU"/>
        </w:rPr>
      </w:pPr>
      <w:r w:rsidRPr="00573AFC">
        <w:rPr>
          <w:rFonts w:ascii="Times New Roman" w:hAnsi="Times New Roman"/>
          <w:b/>
          <w:sz w:val="28"/>
          <w:szCs w:val="28"/>
          <w:lang w:val="uk-UA"/>
        </w:rPr>
        <w:t>Верховна Рада України</w:t>
      </w:r>
    </w:p>
    <w:p w:rsidR="00573AFC" w:rsidRPr="00573AFC" w:rsidRDefault="00573AFC" w:rsidP="00573AFC">
      <w:pPr>
        <w:spacing w:after="0" w:line="240" w:lineRule="auto"/>
        <w:jc w:val="center"/>
        <w:rPr>
          <w:rFonts w:ascii="Times New Roman" w:hAnsi="Times New Roman"/>
          <w:sz w:val="28"/>
          <w:szCs w:val="24"/>
          <w:highlight w:val="yellow"/>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Комітет Верховної Ради України з питань фінансів, податкової та митної політики на своєму засіданні 21 січня 2021 року (Протокол №55) розглянув проекти Законів «Про внесення змін до Податкового кодексу України щодо упорядкування структури акцизного податку» (реєстр. № 3704 від 19.06.2020),  «Про внесення змін до Податкового кодексу України щодо упорядкування структури акцизного податку» (реєстр. № 3704-1 від 03.07.2020), «Про внесення змін до Податкового кодексу України щодо надання учасникам антитерористичної операції та заходів із забезпечення національної безпеки і оборони України розстрочки зі сплати податку на додану вартість та акцизного податку при ввезенні на митну територію України в митному режимі імпорту транспортних засобів особистого користування»  (реєстр. № 3093 від 20.02.2020) та «Про внесення змін до Податкового кодексу України щодо спрощення умов ввезення на митну територію України транспортних засобів та приведення умов оподаткування до загального режиму акцизних зборів Європейського Союзу» (реєстр. №2342 від 29.10.2019).</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Всі законопроекти за своєю суттю є альтернативними, адже містять положення, що регулюють однакове коло питань та повторюють за суттю положення щодо регулювання одних і тих же суспільних відносин: зокрема, ними пропонується створення правових передумов для розмитнення автомобілів на іноземній реєстрації, раніше ввезених на митну територію України, спрощення митних процедур їх оформлення та реєстрації в Україні.</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1.</w:t>
      </w:r>
      <w:r w:rsidRPr="00AC44E7">
        <w:rPr>
          <w:rFonts w:ascii="Times New Roman" w:hAnsi="Times New Roman"/>
          <w:sz w:val="28"/>
          <w:szCs w:val="28"/>
          <w:lang w:val="uk-UA" w:eastAsia="ru-RU"/>
        </w:rPr>
        <w:tab/>
        <w:t xml:space="preserve">До законопроекту (реєстр.№3704):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Метою законопроекту, як зазначається у пояснювальній записці до нього, є наближення податкового  законодавства України до </w:t>
      </w:r>
      <w:proofErr w:type="spellStart"/>
      <w:r w:rsidRPr="00AC44E7">
        <w:rPr>
          <w:rFonts w:ascii="Times New Roman" w:hAnsi="Times New Roman"/>
          <w:sz w:val="28"/>
          <w:szCs w:val="28"/>
          <w:lang w:val="uk-UA" w:eastAsia="ru-RU"/>
        </w:rPr>
        <w:t>acquis</w:t>
      </w:r>
      <w:proofErr w:type="spellEnd"/>
      <w:r w:rsidRPr="00AC44E7">
        <w:rPr>
          <w:rFonts w:ascii="Times New Roman" w:hAnsi="Times New Roman"/>
          <w:sz w:val="28"/>
          <w:szCs w:val="28"/>
          <w:lang w:val="uk-UA" w:eastAsia="ru-RU"/>
        </w:rPr>
        <w:t xml:space="preserve"> ЄС, зокрема Директиви Ради ЄС № 2008/118/ЄС, встановлення сприятливих умов для ввезення у 2020 році на митну територію України транспортних засобів особами з інвалідністю, учасниками ліквідації наслідків аварії на Чорнобильській АЕС, учасниками бойових дій та інвалідами війни з числа  учасників антитерористичної операції та заходів із забезпечення національної безпеки і оборони України; створення правових передумов для розмитнення автомобілів на іноземній реєстрації, раніше ввезених на митну територію України, спрощення митних процедур їх оформлення та реєстрації в Україні; оновлення наявного  парку автотранспортних засобів українських </w:t>
      </w:r>
      <w:r w:rsidRPr="00AC44E7">
        <w:rPr>
          <w:rFonts w:ascii="Times New Roman" w:hAnsi="Times New Roman"/>
          <w:sz w:val="28"/>
          <w:szCs w:val="28"/>
          <w:lang w:val="uk-UA" w:eastAsia="ru-RU"/>
        </w:rPr>
        <w:lastRenderedPageBreak/>
        <w:t>перевізників; збільшення доходів місцевих бюджетів за рахунок перегляду об’єктів оподаткування транспортним податком та врахування  специфіки окремих транспортних засобів  при застосуванні до них чинних екологічних стандартів.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У законопроекті, зокрема, передбачається: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виключити з переліку підакцизних товарів (із скасуванням відповідних ставок акцизного податку) автомобілі легкові, кузови до них, причепи та напівпричепи, мотоцикли, транспортні засоби, призначені для перевезення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10 осіб i більше;</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виключити надходження від акцизного податку із джерел формування Державного дорожнього фонду;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звільнити з 1 січня 2021 року від сплати податку на додану вартість операції з ввезення на митну територію України у митному режимі імпорту транспортних засобів особистого користування, що класифікуються за товарними позиціями 8702 (автобуси), 8703 (легкові автомобілі), 8704 (вантажні автомобілі загальною масою до 3,5 тони) та причепів до них (товарна позиція 8716) згідно з УКТ ЗЕД, у кількості не більше однієї одиниці на кожну товарну позицію учасниками бойових дій;</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звільнити до 31 грудня 2020 року (включно) від сплати акцизного податку операції з ввезення на митну територію України у митному режимі імпорту транспортних засобів особистого користування, що класифікуються за товарними позиціями 8702 (автобуси), 8703 (легкові автомобілі), 8704 (вантажні автомобілі загальною масою до 3,5 тони) та причепів до них (товарна позиція 8716) згідно з УКТ ЗЕД, у кількості не більше однієї одиниці на кожну товарну позицію учасниками бойових дій;</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віднести до переліку об’єктів оподаткування транспортним податком мотоцикли, а також водні види транспорту (зареєстровані у Державному судновому реєстрі України або Судновій книзі України яхти, судна та катери моторні);</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виключити з об’єктів оподаткування транспортним податком транспортні засоби спеціального та спеціалізованого призначення, транспортні засоби, що входять до складу Збройних Сил України, інших, утворених відповідно до законів України, військових формувань та правоохоронних органів, підрозділів цивільного захисту населення, транспортні засоби об’єктів соціальної та спортивної сфер, а також водний транспорт комерційного призначення;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встановити ставку оподаткування цим податком з розрахунку на календарний рік на рівні 6 розмірів мінімальної заробітної плати, встановленої законом на 1 січня податкового (звітного) періоду (як приклад, станом                          на 2020 рік це 28,3 тис. грн.) замість чинної на сьогодні ставки у розмірі                        25 тис. гривень. При цьому, повна ставка буде сплачуватися за транспорті </w:t>
      </w:r>
      <w:r w:rsidRPr="00AC44E7">
        <w:rPr>
          <w:rFonts w:ascii="Times New Roman" w:hAnsi="Times New Roman"/>
          <w:sz w:val="28"/>
          <w:szCs w:val="28"/>
          <w:lang w:val="uk-UA" w:eastAsia="ru-RU"/>
        </w:rPr>
        <w:lastRenderedPageBreak/>
        <w:t>засоби за роком виготовлення не старіше 5 років, а за роками виготовлення транспортних засобів від 8 до 5 років до повної ставки встановлюється понижуючий коефіцієнт 0,5 (тобто, як приклад, на 20020 рік – 14,15 тис. грн.);</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для легкових автомобілів, що були у використанні, які ввезені на митну територію України, оформлені для вільного обігу і зареєстровані в Україні, та які не відповідають екологічному стандарту «ЄВРО-4», пропонується встановити обов’язок проведення технічного огляду протягом 3 місяців з дня їх державної реєстрації та у подальшому 1 раз у 2 роки тощо.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Відповідні зміни пропонуються до Податкового кодексу України, а також до законів України «Про дорожній рух», «Про джерела фінансування дорожнього господарства», «Про деякі питання ввезення на митну територію України та проведення першої державної реєстрації транспортних засобів», «Про реабілітацію осіб з інвалідністю в Україні».</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2.</w:t>
      </w:r>
      <w:r w:rsidRPr="00AC44E7">
        <w:rPr>
          <w:rFonts w:ascii="Times New Roman" w:hAnsi="Times New Roman"/>
          <w:sz w:val="28"/>
          <w:szCs w:val="28"/>
          <w:lang w:val="uk-UA" w:eastAsia="ru-RU"/>
        </w:rPr>
        <w:tab/>
        <w:t xml:space="preserve">До законопроекту (реєстр.№3704-1):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Метою законопроекту, як зазначається у пояснювальній записці до нього, є заміна діючої системи оподаткування акцизним податком легкових транспортних засобів, ліквідацію дисбалансу у встановлених формулою розрахунку акцизного податку в залежності від об'єму циліндрів двигуна транспортних засобів та їх віку, стимулювання до придбання більш нових транспортних засобів та створення умов для розмитнення раніше ввезених на митну територію України автомобілів з іноземною реєстрацією, а також унеможливить виконання будь-яких маніпуляцій та зловживань при розмитненні транспортних засобів.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У законопроекті передбачається встановити єдині ставки акцизного податку на рівні 0,1 євро та ввізного мита на рівні 0,75 євро за 1 куб. см об’єму циліндрів двигуна для моторних транспортних засобів, призначених для перевезення людей, що відповідають товарній позиції 8703 згідно з УКТ ЗЕД.</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Відповідні зміни пропонуються до Податкового кодексу України, а також до Митного тарифу України, встановленого Законом України «Про Митний тариф України» від 04.06.2020 № 674-IX.</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Відповідно до умов вступу України до СОТ ввізне мито на автомобілі встановлене, в середньому, на рівні 10% від митної вартості автомобіля і не може бути підвищеними в односторонньому порядку.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У разі запровадження ставки ввізного мита на рівні 0,75 євро за 1 куб. см об’єму циліндрів двигуна виникає ситуація, за якої ввізне мито може перевищувати рівень, погоджений із СОТ, що має результатом порушення міжнародних зобов’язань, в іншому випадку, призведе до різкого зниження надходжень до державного бюджету.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 xml:space="preserve"> З аналогічних міркувань, законодавча ініціатива також не узгоджується з Угодою про Асоціацію між Україною та ЄС в частині застосування ввізних мит на автомобілі.</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3.</w:t>
      </w:r>
      <w:r w:rsidRPr="00AC44E7">
        <w:rPr>
          <w:rFonts w:ascii="Times New Roman" w:hAnsi="Times New Roman"/>
          <w:sz w:val="28"/>
          <w:szCs w:val="28"/>
          <w:lang w:val="uk-UA" w:eastAsia="ru-RU"/>
        </w:rPr>
        <w:tab/>
        <w:t xml:space="preserve">До законопроекту (реєстр.№3093):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Метою законопроекту, як зазначається у пояснювальній записці до нього, є надання додаткового фінансового інструменту для розмитнення транспортних засобів окремими категоріями громадян, які захищали незалежність, суверенітет та територіальну цілісність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Законопроектом, зокрема, пропонується тимчасово, до 1 січня 2025 року, один раз на 5 років надати учасникам антитерористичної операції та заходів із забезпечення національної безпеки і оборони України за їх заявою розстрочення сплати ПДВ та акцизного податку на термін не більше 36 календарних місяців (без нарахування процентів, пені та штрафів) при ввезенні на митну територію України у митному режимі імпорту транспортних засобів особистого користування, що класифікуються за товарними позиціями 8702 (автобуси), 8703 (легкові автомобілі), 8704 (вантажні автомобілі загальною масою до 3,5 </w:t>
      </w:r>
      <w:proofErr w:type="spellStart"/>
      <w:r w:rsidRPr="00AC44E7">
        <w:rPr>
          <w:rFonts w:ascii="Times New Roman" w:hAnsi="Times New Roman"/>
          <w:sz w:val="28"/>
          <w:szCs w:val="28"/>
          <w:lang w:val="uk-UA" w:eastAsia="ru-RU"/>
        </w:rPr>
        <w:t>тонни</w:t>
      </w:r>
      <w:proofErr w:type="spellEnd"/>
      <w:r w:rsidRPr="00AC44E7">
        <w:rPr>
          <w:rFonts w:ascii="Times New Roman" w:hAnsi="Times New Roman"/>
          <w:sz w:val="28"/>
          <w:szCs w:val="28"/>
          <w:lang w:val="uk-UA" w:eastAsia="ru-RU"/>
        </w:rPr>
        <w:t>), 8711 (мотоцикли) згідно з УКТ ЗЕД, та причепів до них, у кількості не більше однієї одиниці на кожну товарну позицію.</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На даний час розстрочення сплати ПДВ при ввезенні на митну територію України товарів застосовується тільки для суб’єктів господарювання, які здійснюють постійне обов’язкове звітування контролюючим органам, і тому такі операції не потребують додаткового адміністрування. Запровадження розстрочення сплати ПДВ та акцизного податку при ввезені транспортних засобів для фізичних осіб не зареєстрованих платниками ПДВ, призведе до ускладнення (унеможливить) адміністрування цих податків.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Законопроектом пропонується надати можливість забезпечення сплати митних платежів шляхом застави транспортних засобів. При цьому, статтю 306 Митного кодексу України визначено виключний перелік способів забезпечення сплати митних платежів: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фінансові гарантії;</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гарантування на умовах Митної конвенції про міжнародне перевезення вантажів із застосуванням книжки МДП (Конвенції МДП) 1975 року;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гарантування на умовах Конвенції про тимчасове ввезення (Стамбул, 1990 рік) із застосуванням книжки (</w:t>
      </w:r>
      <w:proofErr w:type="spellStart"/>
      <w:r w:rsidRPr="00AC44E7">
        <w:rPr>
          <w:rFonts w:ascii="Times New Roman" w:hAnsi="Times New Roman"/>
          <w:sz w:val="28"/>
          <w:szCs w:val="28"/>
          <w:lang w:val="uk-UA" w:eastAsia="ru-RU"/>
        </w:rPr>
        <w:t>карнету</w:t>
      </w:r>
      <w:proofErr w:type="spellEnd"/>
      <w:r w:rsidRPr="00AC44E7">
        <w:rPr>
          <w:rFonts w:ascii="Times New Roman" w:hAnsi="Times New Roman"/>
          <w:sz w:val="28"/>
          <w:szCs w:val="28"/>
          <w:lang w:val="uk-UA" w:eastAsia="ru-RU"/>
        </w:rPr>
        <w:t>) А.Т.А.</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Можливості забезпечення сплати митних платежів шляхом застави транспортних засобів Митним кодексом України не передбачено. Крім того, Митним кодексом України не надано право Кабінету Міністрів України  встановлювати додаткові способи забезпечення сплати митних платежів.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4.</w:t>
      </w:r>
      <w:r w:rsidRPr="00AC44E7">
        <w:rPr>
          <w:rFonts w:ascii="Times New Roman" w:hAnsi="Times New Roman"/>
          <w:sz w:val="28"/>
          <w:szCs w:val="28"/>
          <w:lang w:val="uk-UA" w:eastAsia="ru-RU"/>
        </w:rPr>
        <w:tab/>
        <w:t xml:space="preserve">До законопроекту (реєстр.№2342):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Метою законопроекту, як зазначається у пояснювальній записці до нього, є створення передумов для комплексного врегулювання питання розмитнення автомобілів з іноземною реєстрацією в Україні, дотримання митних правил при переміщенні транспортних засобів у митних режимах тимчасового ввезення і транзиту, а також врахування інтересів усіх верств населення при вирішенні вказаного питання.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Законопроектом, зокрема, пропонується: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виключити з переліку підакцизних товарів (із скасуванням відповідних ставок акцизного податку) автомобілі легкові, кузови до них, причепи та напівпричепи, мотоцикли, транспортні засоби, призначені для перевезення 10 осіб i більше, транспортні засоби для перевезення вантажів;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 встановити, що не є об'єктом оподаткування операції з переобладнання ввезеного на митну територію України транспортного засобу у підакцизний легковий автомобіль та, відповідно, особа - власник ввезеного на митну територію України вантажного транспортного засобу, що переобладнується у легковий автомобіль, не є платником акцизного податку.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 - встановити тимчасово, протягом 180 календарних днів з дати набрання чинності відповідної законодавчої ініціативи, не застосовувати коефіцієнт віку при визначенні ставки акцизного податку транспортного засобу, що був ввезений на митну територію України до дня набрання чинності зазначеної законодавчої ініціативи.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 не застосовувати екологічні вимоги «ЄВРО» для транспортних засобів, як вироблених в Україні, так і ввезених на митну територію України, для митного оформлення з метою вільного обігу та першої державної реєстрації в Україні для: автомобілів швидкої медичної допомоги, транспортних засобів спеціального призначення - пересувних медичних </w:t>
      </w:r>
      <w:proofErr w:type="spellStart"/>
      <w:r w:rsidRPr="00AC44E7">
        <w:rPr>
          <w:rFonts w:ascii="Times New Roman" w:hAnsi="Times New Roman"/>
          <w:sz w:val="28"/>
          <w:szCs w:val="28"/>
          <w:lang w:val="uk-UA" w:eastAsia="ru-RU"/>
        </w:rPr>
        <w:t>клінік</w:t>
      </w:r>
      <w:proofErr w:type="spellEnd"/>
      <w:r w:rsidRPr="00AC44E7">
        <w:rPr>
          <w:rFonts w:ascii="Times New Roman" w:hAnsi="Times New Roman"/>
          <w:sz w:val="28"/>
          <w:szCs w:val="28"/>
          <w:lang w:val="uk-UA" w:eastAsia="ru-RU"/>
        </w:rPr>
        <w:t>, пожежних автомобілів, якщо замовником (отримувачем) такої продукції є держава; транспортних засобів, що використовувалися понад 30 років, або належать до предметів колекціонування або антикваріату.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Комітет з питань з питань інтеграції України з Європейським Союзом у своїх висновках зазначив: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до законопроекту (реєстр. №2342) – положення  проєкту не стосуються міжнародно-правових зобов’язань України в сфері європейської інтеграції та регулюються на рівні національного законодавства країн-членів Європейського Союзу, а акти </w:t>
      </w:r>
      <w:proofErr w:type="spellStart"/>
      <w:r w:rsidRPr="00AC44E7">
        <w:rPr>
          <w:rFonts w:ascii="Times New Roman" w:hAnsi="Times New Roman"/>
          <w:sz w:val="28"/>
          <w:szCs w:val="28"/>
          <w:lang w:val="uk-UA" w:eastAsia="ru-RU"/>
        </w:rPr>
        <w:t>acquis</w:t>
      </w:r>
      <w:proofErr w:type="spellEnd"/>
      <w:r w:rsidRPr="00AC44E7">
        <w:rPr>
          <w:rFonts w:ascii="Times New Roman" w:hAnsi="Times New Roman"/>
          <w:sz w:val="28"/>
          <w:szCs w:val="28"/>
          <w:lang w:val="uk-UA" w:eastAsia="ru-RU"/>
        </w:rPr>
        <w:t xml:space="preserve"> ЄС, на які автори посилаються у пояснювальній записці, не мають відношення до предмету регулювання законопроекту.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Комітет Верховної Ради України з питань бюджету у своїх висновках зазначив: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до законопроекту (реєстр. №3704) – матиме вплив на показники бюджету (призведе до зменшення доходів загального фонду державного бюджету від податку на додану вартість, зменшення доходів спеціального фонду державного бюджету від акцизного податку та зменшення надходжень і витрат державного дорожнього фонду, а також може призвести до збільшення доходів місцевих бюджетів від транспортного податку);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№3093) - матиме вплив на показники бюджету (призведе до зменшення доходів державного бюджету від податку на додану вартість та акцизного податку у середньостроковій перспективі, а також може потребувати додаткових видатків державного бюджету на функціонування відповідних контролюючих органів залежно від вжиття заходів щодо економного і ефективного використання бюджетних коштів, передбачених на функціонування цих органів);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№2342) - матиме вплив на показники бюджету (призведе до зменшення доходів державного бюджету від акцизного податку та зменшення надходжень і витрат державного дорожнього фонду).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Головне науково-експертне управління Верховної Ради України – у своїх висновках (додаються):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№3704) – висловило ряд суттєвих зауважень та запропонувало отримати висновок Уряду;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№3704-1) – висловило зауваження та запропонувало отримати висновок Уряду;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№3093) – висловило зауваження та запропонувало отримати висновок Уряду та розглянути разом із законопроектами реєстр. №№3704, 3704-1, 2342;</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№2342) – висловило ряд суттєвих зауважень та запропонувало отримати висновок Уряду.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КМУ – у своїх висновках:</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до законопроекту (реєстр. №3704) – не підтримує, оскільки положення проекту не узгоджуються з основним принципом ПДВ – нейтральність для впливу на конкурентне середовище, матимуть негативний вплив на навколишнє природне середовище та безпеку дорожнього руху та призведуть до втрат державного бюджету  з податку на доладну вартість та акцизного податку;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№3704-1) – не підтримує, оскільки положення проекту призведуть до недофінансування державного дорожнього фонду, збільшить негативний вплив на навколишнє природне середовище та безпеку дорожнього руху;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 xml:space="preserve">МФУ – за оперативними даними, не підтримує запропоновані зміни, оскільки, за експертною оцінкою, у разі збереження тенденції 2019 щодо ввезення на митну територію України транспортних засобів, прийняття законопроекту призведе до зменшення надходжень до державного бюджету в сумі близько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6,6 млрд грн в розрахунку на рік (акцизного податку – 6,2 млрд грн та ввізного мита – 0,4 млрд грн).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Мінекономіки – не підтримує законопроект.</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№3093):</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МФУ – надання преференційного режиму оподаткування при імпортуванні товарів на митну територію України може призвести не тільки до недонадходження податку на додану вартість та акцизного податку до державного бюджету, а також до вишукування додаткових джерел фінансування для здійснення контролю за використанням ввезених товарів за призначенням.</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Мінекономіки - відповідно до діючих норм акцизний податок на новий легковий автомобіль з двигуном внутрішнього згоряння з іскровим запалюванням та </w:t>
      </w:r>
      <w:proofErr w:type="spellStart"/>
      <w:r w:rsidRPr="00AC44E7">
        <w:rPr>
          <w:rFonts w:ascii="Times New Roman" w:hAnsi="Times New Roman"/>
          <w:sz w:val="28"/>
          <w:szCs w:val="28"/>
          <w:lang w:val="uk-UA" w:eastAsia="ru-RU"/>
        </w:rPr>
        <w:t>кривошипно</w:t>
      </w:r>
      <w:proofErr w:type="spellEnd"/>
      <w:r w:rsidRPr="00AC44E7">
        <w:rPr>
          <w:rFonts w:ascii="Times New Roman" w:hAnsi="Times New Roman"/>
          <w:sz w:val="28"/>
          <w:szCs w:val="28"/>
          <w:lang w:val="uk-UA" w:eastAsia="ru-RU"/>
        </w:rPr>
        <w:t>-шатунним механізмом з об’ємом циліндрів 2000 куб. сантиметрів складає 50*2000/1000=100 євро. При цьому, відповідно до норм Податкового кодексу України (далі – Кодекс), що діяли до набрання чинності Законом, сума акцизного податку на такий автомобіль складала 0,267*2000=534 євро.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Таким чином, на сьогодні діють цілком сприятливі умови оподаткування акцизним податком при виробництві в Україні та ввезенні на митну територію України транспортних засобів. Також, на даний час розстрочення сплати податків застосовується тільки для суб’єктів господарювання, які здійснюють постійне обов’язкове звітування контролюючим органам, і тому такі операції не потребують додаткового адміністрування, разом з цим запровадження розстрочення сплати ПДВ та акцизного податку при ввезені транспортних засобів для фізичних осіб – учасників ООС призведе до ускладнення адміністрування податків.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Міністерство у справах ветеранів, тимчасово окупованих територій та внутрішньо переміщених осіб – поділяє важливість законодавчого врегулювання додаткового фінансового інструменту для розмитнення транспортних засобів окремими категоріями громадян, які захищали незалежність, суверенітет та територіальну цілісність України. Але реалізація законопроекту може призвести до впливу на показники бюджету в частині зменшення надходжень до загального фонду як державного так і місцевих бюджетів. Крім того, додаткового посилення соціального захисту потребують більш вразливі категорії громадян, як особи з інвалідністю внаслідок війни, члени сімей загиблих чи померлих учасників АТО.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№2342):</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 xml:space="preserve">МФУ –  не підтримує, оскільки за даними Державної казначейської служби України, за перше півріччя 2020 року надходження акцизного податку з транспортних засобів та кузовів до них до державного бюджету становили 4 млрд грн (3,9 млрд грн акцизного податку з транспортних засобів та 0,1 млрд грн акцизного податку з кузовів для моторних транспортних засобів).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Мінекономіки –  не підтримує,  оскільки положення проекту призведуть до недофінансування державного дорожнього фонду.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Оскільки всі законопроекти, що розглядаються за своєю суттю є альтернативними, адже містять положення, що регулюють однакове коло питань та повторюють за суттю положення щодо регулювання одних і тих же суспільних відносин, зокрема, створення правових передумов для розмитнення автомобілів на іноземній реєстрації, раніше ввезених на митну територію України, спрощення митних процедур їх оформлення та реєстрації в Україні, то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Пункти 1 і 2 частини першої статті 12 Закону України «Про комітети Верховної Ради України» визначають, що законопроектна функція комітетів, зокрема, полягає в розробці проектів законів та у попередньому розгляді та підготовці висновків і пропозицій щодо законопроектів, внесених суб'єктами законодавчої ініціативи на розгляд Верховної Ради. При цьому пункт 1 частини першої статті 15 названого Закону України надає Комітету право при здійсненні законопроектної функції, зокрема, розробляти з власної ініціативи проекти законів з питань, що віднесені до предметів відання, з наступним внесенням їх на розгляд Верховної Ради членами Комітету за його рішенням.</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Під час проведення засідання Комітету було заслухано інформацію заступника Голови Комітету Ковальчука О.В. про результати проведених засідань робочої групи та обговорено доопрацьований у Комітеті відповідно до частини другої статті 110 Регламенту Верховною Ради України на основі всіх законопроектів, які врегульовують таке ж коло питань, новий проект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Новим законопроектом пропонується доповнити підрозділи 2 та 5 розділу ХХ «Перехідні положення» Податкового кодексу України, положенням згідно з яким, передбачається тимчасово, протягом 180 днів з дня набрання чинності цього Закону для транспортних засобів ввезених на митну територію України в період до 31 грудня 2020 року, встановити, що: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 xml:space="preserve">- базою оподаткування податком на додану вартість для транспортних засобів (транспортних засобів, що класифікуються за товарними позиціями 8702 (автобуси), 8703 (легкові автомобілі), 8704 (вантажівки - загальною масою до 3,5 тони), 8711 (мотоцикли) згідно з УКТ ЗЕД, та причепів до них, що класифікуються за товарною позицією 8716 (причепи та напівпричепи ) згідно з УКТ ЗЕД,) буде сума акцизного податку, нарахованого відповідно до пункту 36 підрозділу 5 цього розділу;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сума акцизного податку визначається платником податку, на якого поширюється дія цього пункту, за ставкою розрахованою згідно з запропонованою формулою:</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Ставка = Ставка базова + </w:t>
      </w:r>
      <w:proofErr w:type="spellStart"/>
      <w:r w:rsidRPr="00AC44E7">
        <w:rPr>
          <w:rFonts w:ascii="Times New Roman" w:hAnsi="Times New Roman"/>
          <w:sz w:val="28"/>
          <w:szCs w:val="28"/>
          <w:lang w:val="uk-UA" w:eastAsia="ru-RU"/>
        </w:rPr>
        <w:t>Vе</w:t>
      </w:r>
      <w:proofErr w:type="spellEnd"/>
      <w:r w:rsidRPr="00AC44E7">
        <w:rPr>
          <w:rFonts w:ascii="Times New Roman" w:hAnsi="Times New Roman"/>
          <w:sz w:val="28"/>
          <w:szCs w:val="28"/>
          <w:lang w:val="uk-UA" w:eastAsia="ru-RU"/>
        </w:rPr>
        <w:t xml:space="preserve"> + </w:t>
      </w:r>
      <w:proofErr w:type="spellStart"/>
      <w:r w:rsidRPr="00AC44E7">
        <w:rPr>
          <w:rFonts w:ascii="Times New Roman" w:hAnsi="Times New Roman"/>
          <w:sz w:val="28"/>
          <w:szCs w:val="28"/>
          <w:lang w:val="uk-UA" w:eastAsia="ru-RU"/>
        </w:rPr>
        <w:t>Fе</w:t>
      </w:r>
      <w:proofErr w:type="spellEnd"/>
      <w:r w:rsidRPr="00AC44E7">
        <w:rPr>
          <w:rFonts w:ascii="Times New Roman" w:hAnsi="Times New Roman"/>
          <w:sz w:val="28"/>
          <w:szCs w:val="28"/>
          <w:lang w:val="uk-UA" w:eastAsia="ru-RU"/>
        </w:rPr>
        <w:t>,</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де Ставка базова - ставка податку в євро за 1 штуку транспортного засобу, що визначається виходячи з кількості років, що минула з року виготовлення транспортного засобу, до року визначення ставки податку та становить:</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2"/>
        <w:gridCol w:w="2552"/>
      </w:tblGrid>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proofErr w:type="spellStart"/>
            <w:r w:rsidRPr="00F1274C">
              <w:rPr>
                <w:rFonts w:ascii="Times New Roman" w:hAnsi="Times New Roman"/>
                <w:color w:val="000000" w:themeColor="text1"/>
                <w:sz w:val="28"/>
                <w:szCs w:val="28"/>
              </w:rPr>
              <w:t>Кількість</w:t>
            </w:r>
            <w:proofErr w:type="spellEnd"/>
            <w:r w:rsidRPr="00F1274C">
              <w:rPr>
                <w:rFonts w:ascii="Times New Roman" w:hAnsi="Times New Roman"/>
                <w:color w:val="000000" w:themeColor="text1"/>
                <w:sz w:val="28"/>
                <w:szCs w:val="28"/>
              </w:rPr>
              <w:t xml:space="preserve"> </w:t>
            </w:r>
            <w:proofErr w:type="spellStart"/>
            <w:r w:rsidRPr="00F1274C">
              <w:rPr>
                <w:rFonts w:ascii="Times New Roman" w:hAnsi="Times New Roman"/>
                <w:color w:val="000000" w:themeColor="text1"/>
                <w:sz w:val="28"/>
                <w:szCs w:val="28"/>
              </w:rPr>
              <w:t>років</w:t>
            </w:r>
            <w:proofErr w:type="spellEnd"/>
            <w:r w:rsidRPr="00F1274C">
              <w:rPr>
                <w:rFonts w:ascii="Times New Roman" w:hAnsi="Times New Roman"/>
                <w:color w:val="000000" w:themeColor="text1"/>
                <w:sz w:val="28"/>
                <w:szCs w:val="28"/>
              </w:rPr>
              <w:t xml:space="preserve">, </w:t>
            </w:r>
            <w:proofErr w:type="spellStart"/>
            <w:r w:rsidRPr="00F1274C">
              <w:rPr>
                <w:rFonts w:ascii="Times New Roman" w:hAnsi="Times New Roman"/>
                <w:color w:val="000000" w:themeColor="text1"/>
                <w:sz w:val="28"/>
                <w:szCs w:val="28"/>
              </w:rPr>
              <w:t>що</w:t>
            </w:r>
            <w:proofErr w:type="spellEnd"/>
            <w:r w:rsidRPr="00F1274C">
              <w:rPr>
                <w:rFonts w:ascii="Times New Roman" w:hAnsi="Times New Roman"/>
                <w:color w:val="000000" w:themeColor="text1"/>
                <w:sz w:val="28"/>
                <w:szCs w:val="28"/>
              </w:rPr>
              <w:t xml:space="preserve"> минула з року </w:t>
            </w:r>
            <w:proofErr w:type="spellStart"/>
            <w:r w:rsidRPr="00F1274C">
              <w:rPr>
                <w:rFonts w:ascii="Times New Roman" w:hAnsi="Times New Roman"/>
                <w:color w:val="000000" w:themeColor="text1"/>
                <w:sz w:val="28"/>
                <w:szCs w:val="28"/>
              </w:rPr>
              <w:t>виготовлення</w:t>
            </w:r>
            <w:proofErr w:type="spellEnd"/>
            <w:r w:rsidRPr="00F1274C">
              <w:rPr>
                <w:rFonts w:ascii="Times New Roman" w:hAnsi="Times New Roman"/>
                <w:color w:val="000000" w:themeColor="text1"/>
                <w:sz w:val="28"/>
                <w:szCs w:val="28"/>
              </w:rPr>
              <w:t xml:space="preserve"> транспортного </w:t>
            </w:r>
            <w:proofErr w:type="spellStart"/>
            <w:r w:rsidRPr="00F1274C">
              <w:rPr>
                <w:rFonts w:ascii="Times New Roman" w:hAnsi="Times New Roman"/>
                <w:color w:val="000000" w:themeColor="text1"/>
                <w:sz w:val="28"/>
                <w:szCs w:val="28"/>
              </w:rPr>
              <w:t>засобу</w:t>
            </w:r>
            <w:proofErr w:type="spellEnd"/>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 xml:space="preserve">Ставка </w:t>
            </w:r>
            <w:proofErr w:type="spellStart"/>
            <w:r w:rsidRPr="00F1274C">
              <w:rPr>
                <w:rFonts w:ascii="Times New Roman" w:hAnsi="Times New Roman"/>
                <w:color w:val="000000" w:themeColor="text1"/>
                <w:sz w:val="28"/>
                <w:szCs w:val="28"/>
              </w:rPr>
              <w:t>базова</w:t>
            </w:r>
            <w:proofErr w:type="spellEnd"/>
            <w:r w:rsidRPr="00F1274C">
              <w:rPr>
                <w:rFonts w:ascii="Times New Roman" w:hAnsi="Times New Roman"/>
                <w:color w:val="000000" w:themeColor="text1"/>
                <w:sz w:val="28"/>
                <w:szCs w:val="28"/>
              </w:rPr>
              <w:t xml:space="preserve">, </w:t>
            </w:r>
            <w:proofErr w:type="spellStart"/>
            <w:r w:rsidRPr="00F1274C">
              <w:rPr>
                <w:rFonts w:ascii="Times New Roman" w:hAnsi="Times New Roman"/>
                <w:color w:val="000000" w:themeColor="text1"/>
                <w:sz w:val="28"/>
                <w:szCs w:val="28"/>
              </w:rPr>
              <w:t>євро</w:t>
            </w:r>
            <w:proofErr w:type="spellEnd"/>
            <w:r w:rsidRPr="00F1274C">
              <w:rPr>
                <w:rFonts w:ascii="Times New Roman" w:hAnsi="Times New Roman"/>
                <w:color w:val="000000" w:themeColor="text1"/>
                <w:sz w:val="28"/>
                <w:szCs w:val="28"/>
              </w:rPr>
              <w:t xml:space="preserve"> </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0-9</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0</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10</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25</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11</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50</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12</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75</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13</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100</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14</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125</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 xml:space="preserve">15 і </w:t>
            </w:r>
            <w:proofErr w:type="spellStart"/>
            <w:r w:rsidRPr="00F1274C">
              <w:rPr>
                <w:rFonts w:ascii="Times New Roman" w:hAnsi="Times New Roman"/>
                <w:color w:val="000000" w:themeColor="text1"/>
                <w:sz w:val="28"/>
                <w:szCs w:val="28"/>
              </w:rPr>
              <w:t>більше</w:t>
            </w:r>
            <w:proofErr w:type="spellEnd"/>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150</w:t>
            </w:r>
          </w:p>
        </w:tc>
      </w:tr>
    </w:tbl>
    <w:p w:rsidR="00AC44E7" w:rsidRDefault="00AC44E7" w:rsidP="00AC44E7">
      <w:pPr>
        <w:spacing w:before="120" w:after="0" w:line="240" w:lineRule="auto"/>
        <w:ind w:firstLine="708"/>
        <w:jc w:val="both"/>
        <w:rPr>
          <w:rFonts w:ascii="Times New Roman" w:hAnsi="Times New Roman"/>
          <w:sz w:val="28"/>
          <w:szCs w:val="28"/>
          <w:lang w:val="uk-UA" w:eastAsia="ru-RU"/>
        </w:rPr>
      </w:pPr>
    </w:p>
    <w:p w:rsidR="00690A82" w:rsidRPr="00AC44E7" w:rsidRDefault="00690A82"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roofErr w:type="spellStart"/>
      <w:r w:rsidRPr="00AC44E7">
        <w:rPr>
          <w:rFonts w:ascii="Times New Roman" w:hAnsi="Times New Roman"/>
          <w:sz w:val="28"/>
          <w:szCs w:val="28"/>
          <w:lang w:val="uk-UA" w:eastAsia="ru-RU"/>
        </w:rPr>
        <w:t>Vе</w:t>
      </w:r>
      <w:proofErr w:type="spellEnd"/>
      <w:r w:rsidRPr="00AC44E7">
        <w:rPr>
          <w:rFonts w:ascii="Times New Roman" w:hAnsi="Times New Roman"/>
          <w:sz w:val="28"/>
          <w:szCs w:val="28"/>
          <w:lang w:val="uk-UA" w:eastAsia="ru-RU"/>
        </w:rPr>
        <w:t xml:space="preserve"> – ставка податку в євро за 1 штуку транспортного засобу, що визначається множенням об’єму циліндрів двигуна внутрішнього згоряння відповідного транспортного засобу в куб. сантиметрах на коефіцієнт, який становить:</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0,25 євро за 1 куб. см об'єму циліндрів двигуна - для транспортного засобу з об’єм двигуна внутрішнього згоряння до 2000 куб. сантиметрів (включно);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0,2 євро за 1 куб. см об'єму циліндрів двигуна - для транспортного засобу з об’єм двигуна внутрішнього згоряння від 2001 куб. сантиметрів до 3000 куб. сантиметрів (включно);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0,25 євро за 1 куб. см об'єму циліндрів двигуна - для транспортного засобу з об’єм двигуна внутрішнього згоряння від 3001 куб. сантиметрів до 4000 куб. сантиметрів (включно);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0,35 євро за 1 куб. см об'єму циліндрів двигуна - для транспортного засобу з об’єм двигуна внутрішнього згоряння від 4001 куб. сантиметрів до 5000 куб. сантиметрів (включно);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0,5 євро за 1 куб. см об'єму циліндрів двигуна -  для транспортного засобу з об’єм двигуна внутрішнього згоряння понад 5000 куб. сантиметрів.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roofErr w:type="spellStart"/>
      <w:r w:rsidRPr="00AC44E7">
        <w:rPr>
          <w:rFonts w:ascii="Times New Roman" w:hAnsi="Times New Roman"/>
          <w:sz w:val="28"/>
          <w:szCs w:val="28"/>
          <w:lang w:val="uk-UA" w:eastAsia="ru-RU"/>
        </w:rPr>
        <w:t>Fе</w:t>
      </w:r>
      <w:proofErr w:type="spellEnd"/>
      <w:r w:rsidRPr="00AC44E7">
        <w:rPr>
          <w:rFonts w:ascii="Times New Roman" w:hAnsi="Times New Roman"/>
          <w:sz w:val="28"/>
          <w:szCs w:val="28"/>
          <w:lang w:val="uk-UA" w:eastAsia="ru-RU"/>
        </w:rPr>
        <w:t xml:space="preserve"> – ставка податку в євро за 1 штуку транспортного засобу, що становить:</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для транспортних засобів, оснащених двигуном внутрішнього згоряння з іскровим запалюванням та </w:t>
      </w:r>
      <w:proofErr w:type="spellStart"/>
      <w:r w:rsidRPr="00AC44E7">
        <w:rPr>
          <w:rFonts w:ascii="Times New Roman" w:hAnsi="Times New Roman"/>
          <w:sz w:val="28"/>
          <w:szCs w:val="28"/>
          <w:lang w:val="uk-UA" w:eastAsia="ru-RU"/>
        </w:rPr>
        <w:t>кривошипно</w:t>
      </w:r>
      <w:proofErr w:type="spellEnd"/>
      <w:r w:rsidRPr="00AC44E7">
        <w:rPr>
          <w:rFonts w:ascii="Times New Roman" w:hAnsi="Times New Roman"/>
          <w:sz w:val="28"/>
          <w:szCs w:val="28"/>
          <w:lang w:val="uk-UA" w:eastAsia="ru-RU"/>
        </w:rPr>
        <w:t>-шатунним механізмом – 0,0 євро;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для транспортних засобів, оснащених двигуном внутрішнього згоряння із запалюванням від стиснення (дизелем або </w:t>
      </w:r>
      <w:proofErr w:type="spellStart"/>
      <w:r w:rsidRPr="00AC44E7">
        <w:rPr>
          <w:rFonts w:ascii="Times New Roman" w:hAnsi="Times New Roman"/>
          <w:sz w:val="28"/>
          <w:szCs w:val="28"/>
          <w:lang w:val="uk-UA" w:eastAsia="ru-RU"/>
        </w:rPr>
        <w:t>напівдизелем</w:t>
      </w:r>
      <w:proofErr w:type="spellEnd"/>
      <w:r w:rsidRPr="00AC44E7">
        <w:rPr>
          <w:rFonts w:ascii="Times New Roman" w:hAnsi="Times New Roman"/>
          <w:sz w:val="28"/>
          <w:szCs w:val="28"/>
          <w:lang w:val="uk-UA" w:eastAsia="ru-RU"/>
        </w:rPr>
        <w:t>) – 100,0 євро;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для транспортних засобів, оснащених двигуном внутрішнього згоряння з іскровим запалюванням та </w:t>
      </w:r>
      <w:proofErr w:type="spellStart"/>
      <w:r w:rsidRPr="00AC44E7">
        <w:rPr>
          <w:rFonts w:ascii="Times New Roman" w:hAnsi="Times New Roman"/>
          <w:sz w:val="28"/>
          <w:szCs w:val="28"/>
          <w:lang w:val="uk-UA" w:eastAsia="ru-RU"/>
        </w:rPr>
        <w:t>кривошипно</w:t>
      </w:r>
      <w:proofErr w:type="spellEnd"/>
      <w:r w:rsidRPr="00AC44E7">
        <w:rPr>
          <w:rFonts w:ascii="Times New Roman" w:hAnsi="Times New Roman"/>
          <w:sz w:val="28"/>
          <w:szCs w:val="28"/>
          <w:lang w:val="uk-UA" w:eastAsia="ru-RU"/>
        </w:rPr>
        <w:t xml:space="preserve">-шатунним механізмом або двигуном внутрішнього згоряння із запалюванням від стиснення (дизелем або </w:t>
      </w:r>
      <w:proofErr w:type="spellStart"/>
      <w:r w:rsidRPr="00AC44E7">
        <w:rPr>
          <w:rFonts w:ascii="Times New Roman" w:hAnsi="Times New Roman"/>
          <w:sz w:val="28"/>
          <w:szCs w:val="28"/>
          <w:lang w:val="uk-UA" w:eastAsia="ru-RU"/>
        </w:rPr>
        <w:t>напівдизелем</w:t>
      </w:r>
      <w:proofErr w:type="spellEnd"/>
      <w:r w:rsidRPr="00AC44E7">
        <w:rPr>
          <w:rFonts w:ascii="Times New Roman" w:hAnsi="Times New Roman"/>
          <w:sz w:val="28"/>
          <w:szCs w:val="28"/>
          <w:lang w:val="uk-UA" w:eastAsia="ru-RU"/>
        </w:rPr>
        <w:t>) та електричним двигуном (одним чи кількома) - 0,0 євро.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Дія цього пункту поширюється на транспортні засоби, що були у використанні і класифікуються за товарними позиціями 8702, 8703, 8704 (загальною масою до 3,5 тони), 8711 згідно з УКТ ЗЕД, та причепи до них, що класифікуються за товарною позицією 8716 згідно з УКТ ЗЕД, які ввезені фізичними особами на митну територію України в період до 31 грудня 2020 року і перебувають у митних режимах тимчасового ввезення або транзиту, у кількості не більше однієї одиниці на кожну товарну позицію.</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Дія цього пункту не поширюється на транспортні засоби, якщо вони не відповідають екологічним нормам "ЄВРО-2" і вище та/або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Обговоривши положення підготовленого доопрацьованого проекту Закону, народні депутати – члени Комітету висловили підтримку запропонованій редакції законопроекту.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Зважаючи на викладене, Комітет прийняв рішення: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1.</w:t>
      </w:r>
      <w:r w:rsidRPr="00AC44E7">
        <w:rPr>
          <w:rFonts w:ascii="Times New Roman" w:hAnsi="Times New Roman"/>
          <w:sz w:val="28"/>
          <w:szCs w:val="28"/>
          <w:lang w:val="uk-UA" w:eastAsia="ru-RU"/>
        </w:rPr>
        <w:tab/>
        <w:t>Підтримати редакцію доопрацьованого у Комітеті проекту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доручити народним депутатам України – членам Комітету, відповідно до частини другої статті 110 Регламенту Верховною Ради України, оформити та в установленому порядку зареєструвати цей проект та внести його на розгляд Верховної Ради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2.</w:t>
      </w:r>
      <w:r w:rsidRPr="00AC44E7">
        <w:rPr>
          <w:rFonts w:ascii="Times New Roman" w:hAnsi="Times New Roman"/>
          <w:sz w:val="28"/>
          <w:szCs w:val="28"/>
          <w:lang w:val="uk-UA" w:eastAsia="ru-RU"/>
        </w:rPr>
        <w:tab/>
        <w:t>Рекомендувати Верховній Раді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включити проект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до Порядку денного четвертої сесії Верховної Ради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за наслідками розгляду в першо</w:t>
      </w:r>
      <w:bookmarkStart w:id="0" w:name="_GoBack"/>
      <w:bookmarkEnd w:id="0"/>
      <w:r w:rsidRPr="00AC44E7">
        <w:rPr>
          <w:rFonts w:ascii="Times New Roman" w:hAnsi="Times New Roman"/>
          <w:sz w:val="28"/>
          <w:szCs w:val="28"/>
          <w:lang w:val="uk-UA" w:eastAsia="ru-RU"/>
        </w:rPr>
        <w:t>му читанні прийняти за основу проект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3.</w:t>
      </w:r>
      <w:r w:rsidRPr="00AC44E7">
        <w:rPr>
          <w:rFonts w:ascii="Times New Roman" w:hAnsi="Times New Roman"/>
          <w:sz w:val="28"/>
          <w:szCs w:val="28"/>
          <w:lang w:val="uk-UA" w:eastAsia="ru-RU"/>
        </w:rPr>
        <w:tab/>
        <w:t>Доповідати позицію Комітету щодо цього питання на пленарному засіданні сесії Верховної Ради України доручити Заступнику - Голови Комітету, народному депутату України Ковальчуку О.В.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573AFC" w:rsidRPr="00573AFC" w:rsidRDefault="00573AFC" w:rsidP="00573AFC">
      <w:pPr>
        <w:spacing w:before="120" w:after="0" w:line="240" w:lineRule="auto"/>
        <w:ind w:firstLine="708"/>
        <w:jc w:val="both"/>
        <w:rPr>
          <w:rFonts w:ascii="Times New Roman" w:hAnsi="Times New Roman"/>
          <w:sz w:val="28"/>
          <w:szCs w:val="28"/>
          <w:lang w:val="uk-UA" w:eastAsia="ru-RU"/>
        </w:rPr>
      </w:pPr>
      <w:r w:rsidRPr="00573AFC">
        <w:rPr>
          <w:rFonts w:ascii="Times New Roman" w:hAnsi="Times New Roman"/>
          <w:sz w:val="28"/>
          <w:szCs w:val="28"/>
          <w:lang w:val="uk-UA" w:eastAsia="ru-RU"/>
        </w:rPr>
        <w:t xml:space="preserve">Додатки:  </w:t>
      </w:r>
    </w:p>
    <w:p w:rsidR="00573AFC" w:rsidRPr="00573AFC" w:rsidRDefault="00573AFC" w:rsidP="00573AFC">
      <w:pPr>
        <w:spacing w:before="120" w:after="0" w:line="240" w:lineRule="auto"/>
        <w:ind w:firstLine="708"/>
        <w:jc w:val="both"/>
        <w:rPr>
          <w:rFonts w:ascii="Times New Roman" w:hAnsi="Times New Roman"/>
          <w:sz w:val="28"/>
          <w:szCs w:val="28"/>
          <w:lang w:val="uk-UA" w:eastAsia="ru-RU"/>
        </w:rPr>
      </w:pPr>
      <w:r w:rsidRPr="00573AFC">
        <w:rPr>
          <w:rFonts w:ascii="Times New Roman" w:hAnsi="Times New Roman"/>
          <w:sz w:val="28"/>
          <w:szCs w:val="28"/>
          <w:lang w:val="uk-UA" w:eastAsia="ru-RU"/>
        </w:rPr>
        <w:t xml:space="preserve">1. Проект Закону – на </w:t>
      </w:r>
      <w:r w:rsidR="00AC44E7" w:rsidRPr="007E1177">
        <w:rPr>
          <w:rFonts w:ascii="Times New Roman" w:hAnsi="Times New Roman"/>
          <w:sz w:val="28"/>
          <w:szCs w:val="28"/>
          <w:lang w:eastAsia="ru-RU"/>
        </w:rPr>
        <w:t>3</w:t>
      </w:r>
      <w:r w:rsidRPr="00573AFC">
        <w:rPr>
          <w:rFonts w:ascii="Times New Roman" w:hAnsi="Times New Roman"/>
          <w:sz w:val="28"/>
          <w:szCs w:val="28"/>
          <w:lang w:val="uk-UA" w:eastAsia="ru-RU"/>
        </w:rPr>
        <w:t xml:space="preserve"> </w:t>
      </w:r>
      <w:proofErr w:type="spellStart"/>
      <w:r w:rsidRPr="00573AFC">
        <w:rPr>
          <w:rFonts w:ascii="Times New Roman" w:hAnsi="Times New Roman"/>
          <w:sz w:val="28"/>
          <w:szCs w:val="28"/>
          <w:lang w:val="uk-UA" w:eastAsia="ru-RU"/>
        </w:rPr>
        <w:t>арк</w:t>
      </w:r>
      <w:proofErr w:type="spellEnd"/>
      <w:r w:rsidRPr="00573AFC">
        <w:rPr>
          <w:rFonts w:ascii="Times New Roman" w:hAnsi="Times New Roman"/>
          <w:sz w:val="28"/>
          <w:szCs w:val="28"/>
          <w:lang w:val="uk-UA" w:eastAsia="ru-RU"/>
        </w:rPr>
        <w:t>.</w:t>
      </w:r>
    </w:p>
    <w:p w:rsidR="00573AFC" w:rsidRPr="00573AFC" w:rsidRDefault="00573AFC" w:rsidP="00573AFC">
      <w:pPr>
        <w:spacing w:before="120" w:after="0" w:line="240" w:lineRule="auto"/>
        <w:ind w:firstLine="708"/>
        <w:jc w:val="both"/>
        <w:rPr>
          <w:rFonts w:ascii="Times New Roman" w:hAnsi="Times New Roman"/>
          <w:sz w:val="28"/>
          <w:szCs w:val="28"/>
          <w:lang w:val="uk-UA" w:eastAsia="ru-RU"/>
        </w:rPr>
      </w:pPr>
      <w:r w:rsidRPr="00573AFC">
        <w:rPr>
          <w:rFonts w:ascii="Times New Roman" w:hAnsi="Times New Roman"/>
          <w:sz w:val="28"/>
          <w:szCs w:val="28"/>
          <w:lang w:val="uk-UA" w:eastAsia="ru-RU"/>
        </w:rPr>
        <w:t xml:space="preserve">2. Пояснювальна записка до Закону - на </w:t>
      </w:r>
      <w:r w:rsidR="00814487">
        <w:rPr>
          <w:rFonts w:ascii="Times New Roman" w:hAnsi="Times New Roman"/>
          <w:sz w:val="28"/>
          <w:szCs w:val="28"/>
          <w:lang w:val="uk-UA" w:eastAsia="ru-RU"/>
        </w:rPr>
        <w:t>4</w:t>
      </w:r>
      <w:r w:rsidRPr="00573AFC">
        <w:rPr>
          <w:rFonts w:ascii="Times New Roman" w:hAnsi="Times New Roman"/>
          <w:sz w:val="28"/>
          <w:szCs w:val="28"/>
          <w:lang w:val="uk-UA" w:eastAsia="ru-RU"/>
        </w:rPr>
        <w:t xml:space="preserve"> </w:t>
      </w:r>
      <w:proofErr w:type="spellStart"/>
      <w:r w:rsidRPr="00573AFC">
        <w:rPr>
          <w:rFonts w:ascii="Times New Roman" w:hAnsi="Times New Roman"/>
          <w:sz w:val="28"/>
          <w:szCs w:val="28"/>
          <w:lang w:val="uk-UA" w:eastAsia="ru-RU"/>
        </w:rPr>
        <w:t>арк</w:t>
      </w:r>
      <w:proofErr w:type="spellEnd"/>
      <w:r w:rsidRPr="00573AFC">
        <w:rPr>
          <w:rFonts w:ascii="Times New Roman" w:hAnsi="Times New Roman"/>
          <w:sz w:val="28"/>
          <w:szCs w:val="28"/>
          <w:lang w:val="uk-UA" w:eastAsia="ru-RU"/>
        </w:rPr>
        <w:t>.</w:t>
      </w:r>
    </w:p>
    <w:p w:rsidR="00573AFC" w:rsidRPr="00573AFC" w:rsidRDefault="00814487" w:rsidP="00573AFC">
      <w:pPr>
        <w:spacing w:before="120" w:after="0" w:line="24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3. Порівняльна таблиця  на </w:t>
      </w:r>
      <w:r w:rsidR="007E1177" w:rsidRPr="00690A82">
        <w:rPr>
          <w:rFonts w:ascii="Times New Roman" w:hAnsi="Times New Roman"/>
          <w:sz w:val="28"/>
          <w:szCs w:val="28"/>
          <w:lang w:eastAsia="ru-RU"/>
        </w:rPr>
        <w:t>4</w:t>
      </w:r>
      <w:r w:rsidR="00573AFC" w:rsidRPr="00573AFC">
        <w:rPr>
          <w:rFonts w:ascii="Times New Roman" w:hAnsi="Times New Roman"/>
          <w:sz w:val="28"/>
          <w:szCs w:val="28"/>
          <w:lang w:val="uk-UA" w:eastAsia="ru-RU"/>
        </w:rPr>
        <w:t xml:space="preserve"> </w:t>
      </w:r>
      <w:proofErr w:type="spellStart"/>
      <w:r w:rsidR="00573AFC" w:rsidRPr="00573AFC">
        <w:rPr>
          <w:rFonts w:ascii="Times New Roman" w:hAnsi="Times New Roman"/>
          <w:sz w:val="28"/>
          <w:szCs w:val="28"/>
          <w:lang w:val="uk-UA" w:eastAsia="ru-RU"/>
        </w:rPr>
        <w:t>арк</w:t>
      </w:r>
      <w:proofErr w:type="spellEnd"/>
      <w:r w:rsidR="00573AFC" w:rsidRPr="00573AFC">
        <w:rPr>
          <w:rFonts w:ascii="Times New Roman" w:hAnsi="Times New Roman"/>
          <w:sz w:val="28"/>
          <w:szCs w:val="28"/>
          <w:lang w:val="uk-UA" w:eastAsia="ru-RU"/>
        </w:rPr>
        <w:t>.</w:t>
      </w:r>
    </w:p>
    <w:p w:rsidR="00573AFC" w:rsidRPr="00573AFC" w:rsidRDefault="00814487" w:rsidP="00573AFC">
      <w:pPr>
        <w:spacing w:before="120" w:after="0" w:line="24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4. Проект Постанови на 1</w:t>
      </w:r>
      <w:r w:rsidR="00573AFC" w:rsidRPr="00573AFC">
        <w:rPr>
          <w:rFonts w:ascii="Times New Roman" w:hAnsi="Times New Roman"/>
          <w:sz w:val="28"/>
          <w:szCs w:val="28"/>
          <w:lang w:val="uk-UA" w:eastAsia="ru-RU"/>
        </w:rPr>
        <w:t xml:space="preserve"> </w:t>
      </w:r>
      <w:proofErr w:type="spellStart"/>
      <w:r w:rsidR="00573AFC" w:rsidRPr="00573AFC">
        <w:rPr>
          <w:rFonts w:ascii="Times New Roman" w:hAnsi="Times New Roman"/>
          <w:sz w:val="28"/>
          <w:szCs w:val="28"/>
          <w:lang w:val="uk-UA" w:eastAsia="ru-RU"/>
        </w:rPr>
        <w:t>арк</w:t>
      </w:r>
      <w:proofErr w:type="spellEnd"/>
      <w:r w:rsidR="00573AFC" w:rsidRPr="00573AFC">
        <w:rPr>
          <w:rFonts w:ascii="Times New Roman" w:hAnsi="Times New Roman"/>
          <w:sz w:val="28"/>
          <w:szCs w:val="28"/>
          <w:lang w:val="uk-UA" w:eastAsia="ru-RU"/>
        </w:rPr>
        <w:t>.</w:t>
      </w:r>
    </w:p>
    <w:p w:rsidR="00573AFC" w:rsidRPr="00573AFC" w:rsidRDefault="00573AFC" w:rsidP="00573AFC">
      <w:pPr>
        <w:spacing w:before="120" w:after="0" w:line="240" w:lineRule="auto"/>
        <w:ind w:firstLine="708"/>
        <w:jc w:val="both"/>
        <w:rPr>
          <w:rFonts w:ascii="Times New Roman" w:hAnsi="Times New Roman"/>
          <w:sz w:val="28"/>
          <w:szCs w:val="28"/>
          <w:lang w:val="uk-UA" w:eastAsia="ru-RU"/>
        </w:rPr>
      </w:pPr>
      <w:r w:rsidRPr="00573AFC">
        <w:rPr>
          <w:rFonts w:ascii="Times New Roman" w:hAnsi="Times New Roman"/>
          <w:sz w:val="28"/>
          <w:szCs w:val="28"/>
          <w:lang w:val="uk-UA" w:eastAsia="ru-RU"/>
        </w:rPr>
        <w:t>5. Зазначені документи в електронній формі.</w:t>
      </w:r>
    </w:p>
    <w:p w:rsidR="00573AFC" w:rsidRPr="00573AFC" w:rsidRDefault="00573AFC" w:rsidP="00573AFC">
      <w:pPr>
        <w:spacing w:before="120" w:after="0" w:line="240" w:lineRule="auto"/>
        <w:ind w:firstLine="708"/>
        <w:jc w:val="both"/>
        <w:rPr>
          <w:rFonts w:ascii="Times New Roman" w:hAnsi="Times New Roman"/>
          <w:sz w:val="24"/>
          <w:szCs w:val="24"/>
          <w:lang w:val="uk-UA" w:eastAsia="ru-RU"/>
        </w:rPr>
      </w:pPr>
    </w:p>
    <w:p w:rsidR="00AC44E7" w:rsidRPr="00573AFC" w:rsidRDefault="00AC44E7" w:rsidP="00AC44E7">
      <w:pPr>
        <w:spacing w:after="0" w:line="240" w:lineRule="auto"/>
        <w:ind w:firstLine="708"/>
        <w:jc w:val="both"/>
        <w:rPr>
          <w:rFonts w:ascii="Times New Roman" w:hAnsi="Times New Roman"/>
          <w:b/>
          <w:sz w:val="28"/>
          <w:szCs w:val="28"/>
          <w:lang w:val="uk-UA" w:eastAsia="ru-RU"/>
        </w:rPr>
      </w:pPr>
      <w:r w:rsidRPr="00AC44E7">
        <w:rPr>
          <w:rFonts w:ascii="Times New Roman" w:hAnsi="Times New Roman"/>
          <w:b/>
          <w:sz w:val="28"/>
          <w:szCs w:val="28"/>
          <w:lang w:val="uk-UA" w:eastAsia="ru-RU"/>
        </w:rPr>
        <w:t>Голова Комітету                                                                Д.О. Гетманцев</w:t>
      </w:r>
    </w:p>
    <w:p w:rsidR="00573AFC" w:rsidRPr="00573AFC" w:rsidRDefault="00573AFC" w:rsidP="00573AFC">
      <w:pPr>
        <w:spacing w:after="0" w:line="240" w:lineRule="auto"/>
        <w:jc w:val="both"/>
        <w:rPr>
          <w:rFonts w:ascii="Times New Roman" w:hAnsi="Times New Roman"/>
          <w:sz w:val="28"/>
          <w:szCs w:val="28"/>
          <w:lang w:val="uk-UA" w:eastAsia="uk-UA"/>
        </w:rPr>
      </w:pPr>
    </w:p>
    <w:p w:rsidR="00690A82" w:rsidRDefault="00573AFC" w:rsidP="00B20CE7">
      <w:pPr>
        <w:spacing w:after="0" w:line="240" w:lineRule="auto"/>
        <w:jc w:val="both"/>
        <w:rPr>
          <w:rFonts w:ascii="Times New Roman" w:hAnsi="Times New Roman"/>
          <w:sz w:val="18"/>
          <w:szCs w:val="18"/>
          <w:lang w:val="uk-UA" w:eastAsia="uk-UA"/>
        </w:rPr>
      </w:pPr>
      <w:r w:rsidRPr="00573AFC">
        <w:rPr>
          <w:rFonts w:ascii="Times New Roman" w:hAnsi="Times New Roman"/>
          <w:sz w:val="18"/>
          <w:szCs w:val="18"/>
          <w:lang w:val="uk-UA" w:eastAsia="uk-UA"/>
        </w:rPr>
        <w:t>Ющенко В.П.</w:t>
      </w:r>
      <w:r w:rsidR="00690A82">
        <w:rPr>
          <w:rFonts w:ascii="Times New Roman" w:hAnsi="Times New Roman"/>
          <w:sz w:val="18"/>
          <w:szCs w:val="18"/>
          <w:lang w:val="uk-UA" w:eastAsia="uk-UA"/>
        </w:rPr>
        <w:t xml:space="preserve"> </w:t>
      </w:r>
    </w:p>
    <w:p w:rsidR="00A7635E" w:rsidRPr="00690A82" w:rsidRDefault="00573AFC" w:rsidP="00B20CE7">
      <w:pPr>
        <w:spacing w:after="0" w:line="240" w:lineRule="auto"/>
        <w:jc w:val="both"/>
        <w:rPr>
          <w:rFonts w:ascii="Times New Roman" w:hAnsi="Times New Roman"/>
          <w:sz w:val="18"/>
          <w:szCs w:val="18"/>
          <w:lang w:val="uk-UA" w:eastAsia="uk-UA"/>
        </w:rPr>
      </w:pPr>
      <w:r w:rsidRPr="00573AFC">
        <w:rPr>
          <w:rFonts w:ascii="Times New Roman" w:hAnsi="Times New Roman"/>
          <w:sz w:val="18"/>
          <w:szCs w:val="18"/>
          <w:lang w:val="uk-UA" w:eastAsia="uk-UA"/>
        </w:rPr>
        <w:t>255-2459</w:t>
      </w:r>
    </w:p>
    <w:sectPr w:rsidR="00A7635E" w:rsidRPr="00690A82" w:rsidSect="00340E7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5D7" w:rsidRDefault="00A345D7" w:rsidP="005E306B">
      <w:pPr>
        <w:spacing w:after="0" w:line="240" w:lineRule="auto"/>
      </w:pPr>
      <w:r>
        <w:separator/>
      </w:r>
    </w:p>
  </w:endnote>
  <w:endnote w:type="continuationSeparator" w:id="0">
    <w:p w:rsidR="00A345D7" w:rsidRDefault="00A345D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345D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5D7" w:rsidRDefault="00A345D7" w:rsidP="005E306B">
      <w:pPr>
        <w:spacing w:after="0" w:line="240" w:lineRule="auto"/>
      </w:pPr>
      <w:r>
        <w:separator/>
      </w:r>
    </w:p>
  </w:footnote>
  <w:footnote w:type="continuationSeparator" w:id="0">
    <w:p w:rsidR="00A345D7" w:rsidRDefault="00A345D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A071C"/>
    <w:rsid w:val="000F1586"/>
    <w:rsid w:val="000F445D"/>
    <w:rsid w:val="00141617"/>
    <w:rsid w:val="0019108F"/>
    <w:rsid w:val="001966F0"/>
    <w:rsid w:val="001D3C24"/>
    <w:rsid w:val="0021032F"/>
    <w:rsid w:val="00235CD7"/>
    <w:rsid w:val="002A5D4C"/>
    <w:rsid w:val="002B4E4E"/>
    <w:rsid w:val="002B5FC1"/>
    <w:rsid w:val="002D0561"/>
    <w:rsid w:val="002E0A18"/>
    <w:rsid w:val="002E31BF"/>
    <w:rsid w:val="002E44DA"/>
    <w:rsid w:val="00340E70"/>
    <w:rsid w:val="003A554E"/>
    <w:rsid w:val="003C210F"/>
    <w:rsid w:val="003D1CBA"/>
    <w:rsid w:val="00434B81"/>
    <w:rsid w:val="00451750"/>
    <w:rsid w:val="004852FA"/>
    <w:rsid w:val="004867A1"/>
    <w:rsid w:val="004E4F5C"/>
    <w:rsid w:val="004F7B8A"/>
    <w:rsid w:val="0050620F"/>
    <w:rsid w:val="0055005A"/>
    <w:rsid w:val="0056039F"/>
    <w:rsid w:val="0056352F"/>
    <w:rsid w:val="00573AFC"/>
    <w:rsid w:val="005A2970"/>
    <w:rsid w:val="005A4728"/>
    <w:rsid w:val="005B71F5"/>
    <w:rsid w:val="005E306B"/>
    <w:rsid w:val="005F20B5"/>
    <w:rsid w:val="00626A3E"/>
    <w:rsid w:val="006312B2"/>
    <w:rsid w:val="00660B13"/>
    <w:rsid w:val="0066623D"/>
    <w:rsid w:val="00690A82"/>
    <w:rsid w:val="006A4344"/>
    <w:rsid w:val="006F10E8"/>
    <w:rsid w:val="00713E93"/>
    <w:rsid w:val="00720DBD"/>
    <w:rsid w:val="0073224C"/>
    <w:rsid w:val="007E1177"/>
    <w:rsid w:val="007F5D91"/>
    <w:rsid w:val="0080545D"/>
    <w:rsid w:val="00814487"/>
    <w:rsid w:val="00945B68"/>
    <w:rsid w:val="00957D31"/>
    <w:rsid w:val="009A720A"/>
    <w:rsid w:val="00A00059"/>
    <w:rsid w:val="00A345D7"/>
    <w:rsid w:val="00A60747"/>
    <w:rsid w:val="00A7635E"/>
    <w:rsid w:val="00A833C8"/>
    <w:rsid w:val="00AB2825"/>
    <w:rsid w:val="00AC44E7"/>
    <w:rsid w:val="00AD7F82"/>
    <w:rsid w:val="00B20CE7"/>
    <w:rsid w:val="00B311E8"/>
    <w:rsid w:val="00BD0801"/>
    <w:rsid w:val="00BD17D3"/>
    <w:rsid w:val="00BF1E95"/>
    <w:rsid w:val="00C11FB6"/>
    <w:rsid w:val="00C27AE9"/>
    <w:rsid w:val="00C86266"/>
    <w:rsid w:val="00CA7044"/>
    <w:rsid w:val="00CC39A1"/>
    <w:rsid w:val="00CD1020"/>
    <w:rsid w:val="00CD4A38"/>
    <w:rsid w:val="00CE3E1B"/>
    <w:rsid w:val="00CE6A4B"/>
    <w:rsid w:val="00D242C2"/>
    <w:rsid w:val="00D37FA2"/>
    <w:rsid w:val="00D52549"/>
    <w:rsid w:val="00D57E1B"/>
    <w:rsid w:val="00DF0115"/>
    <w:rsid w:val="00EA090B"/>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134A1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A34E6-043E-4B49-A423-4ED95EFB9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16131</Words>
  <Characters>9195</Characters>
  <Application>Microsoft Office Word</Application>
  <DocSecurity>0</DocSecurity>
  <Lines>76</Lines>
  <Paragraphs>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Ющенко В'ячеслав Петрович</cp:lastModifiedBy>
  <cp:revision>6</cp:revision>
  <cp:lastPrinted>2019-11-08T11:28:00Z</cp:lastPrinted>
  <dcterms:created xsi:type="dcterms:W3CDTF">2021-01-21T16:01:00Z</dcterms:created>
  <dcterms:modified xsi:type="dcterms:W3CDTF">2021-01-22T09:45:00Z</dcterms:modified>
</cp:coreProperties>
</file>