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A10" w:rsidRPr="00AF35E2" w:rsidRDefault="00116A10" w:rsidP="00116A10">
      <w:pPr>
        <w:pStyle w:val="a5"/>
        <w:tabs>
          <w:tab w:val="left" w:pos="708"/>
        </w:tabs>
        <w:jc w:val="center"/>
        <w:rPr>
          <w:color w:val="002060"/>
        </w:rPr>
      </w:pPr>
      <w:r w:rsidRPr="00AF35E2">
        <w:rPr>
          <w:noProof/>
          <w:lang w:val="uk-UA" w:eastAsia="uk-UA"/>
        </w:rPr>
        <w:drawing>
          <wp:anchor distT="360045" distB="0" distL="114300" distR="114300" simplePos="0" relativeHeight="251659264" behindDoc="0" locked="0" layoutInCell="1" allowOverlap="1" wp14:anchorId="7E13BED7" wp14:editId="568D2EB9">
            <wp:simplePos x="0" y="0"/>
            <wp:positionH relativeFrom="margin">
              <wp:posOffset>2758440</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116A10" w:rsidRPr="00AF35E2" w:rsidRDefault="00116A10" w:rsidP="00116A10">
      <w:pPr>
        <w:pStyle w:val="a5"/>
        <w:tabs>
          <w:tab w:val="left" w:pos="708"/>
        </w:tabs>
        <w:jc w:val="center"/>
        <w:rPr>
          <w:color w:val="002060"/>
        </w:rPr>
      </w:pPr>
    </w:p>
    <w:p w:rsidR="00116A10" w:rsidRPr="00AF35E2" w:rsidRDefault="00116A10" w:rsidP="00116A10">
      <w:pPr>
        <w:pStyle w:val="a5"/>
        <w:tabs>
          <w:tab w:val="left" w:pos="708"/>
        </w:tabs>
        <w:jc w:val="center"/>
        <w:rPr>
          <w:color w:val="002060"/>
        </w:rPr>
      </w:pPr>
    </w:p>
    <w:p w:rsidR="00116A10" w:rsidRPr="00AF35E2" w:rsidRDefault="00116A10" w:rsidP="00116A10">
      <w:pPr>
        <w:pStyle w:val="a5"/>
        <w:tabs>
          <w:tab w:val="left" w:pos="708"/>
        </w:tabs>
        <w:jc w:val="center"/>
        <w:rPr>
          <w:color w:val="002060"/>
        </w:rPr>
      </w:pPr>
    </w:p>
    <w:p w:rsidR="00116A10" w:rsidRPr="00AF35E2" w:rsidRDefault="00116A10" w:rsidP="00116A10">
      <w:pPr>
        <w:pStyle w:val="a5"/>
        <w:tabs>
          <w:tab w:val="left" w:pos="708"/>
        </w:tabs>
        <w:spacing w:before="80"/>
        <w:jc w:val="center"/>
        <w:rPr>
          <w:color w:val="1829A8"/>
          <w:spacing w:val="20"/>
          <w:lang w:val="ru-RU"/>
        </w:rPr>
      </w:pPr>
      <w:r w:rsidRPr="00AF35E2">
        <w:rPr>
          <w:color w:val="1829A8"/>
          <w:spacing w:val="20"/>
          <w:lang w:val="uk-UA"/>
        </w:rPr>
        <w:t>ВЕРХОВНА РАДА УКРАЇНИ</w:t>
      </w:r>
    </w:p>
    <w:p w:rsidR="00116A10" w:rsidRPr="00AF35E2" w:rsidRDefault="00116A10" w:rsidP="00116A10">
      <w:pPr>
        <w:pStyle w:val="a5"/>
        <w:tabs>
          <w:tab w:val="left" w:pos="708"/>
        </w:tabs>
        <w:spacing w:before="100"/>
        <w:jc w:val="center"/>
        <w:rPr>
          <w:b/>
          <w:color w:val="1829A8"/>
          <w:spacing w:val="20"/>
          <w:lang w:val="ru-RU"/>
        </w:rPr>
      </w:pPr>
      <w:r w:rsidRPr="00AF35E2">
        <w:rPr>
          <w:b/>
          <w:color w:val="1829A8"/>
          <w:spacing w:val="20"/>
          <w:lang w:val="uk-UA"/>
        </w:rPr>
        <w:t>Комітет з питань інтеграції України з Європейським Союзом</w:t>
      </w:r>
    </w:p>
    <w:p w:rsidR="00116A10" w:rsidRPr="00920036" w:rsidRDefault="00116A10" w:rsidP="00116A10">
      <w:pPr>
        <w:jc w:val="center"/>
        <w:rPr>
          <w:color w:val="002060"/>
          <w:lang w:val="ru-RU"/>
        </w:rPr>
      </w:pPr>
      <w:r w:rsidRPr="00AF35E2">
        <w:rPr>
          <w:color w:val="1829A8"/>
        </w:rPr>
        <w:t xml:space="preserve">01008, м.Київ-8, вул. М. Грушевського, 5, </w:t>
      </w:r>
      <w:proofErr w:type="spellStart"/>
      <w:r w:rsidRPr="00AF35E2">
        <w:rPr>
          <w:color w:val="1829A8"/>
        </w:rPr>
        <w:t>тел</w:t>
      </w:r>
      <w:proofErr w:type="spellEnd"/>
      <w:r w:rsidRPr="00AF35E2">
        <w:rPr>
          <w:color w:val="1829A8"/>
        </w:rPr>
        <w:t>.: 255-34-42, факс</w:t>
      </w:r>
      <w:r w:rsidRPr="00AF35E2">
        <w:rPr>
          <w:color w:val="1829A8"/>
          <w:lang w:val="ru-RU"/>
        </w:rPr>
        <w:t>:</w:t>
      </w:r>
      <w:r w:rsidRPr="00AF35E2">
        <w:rPr>
          <w:color w:val="1829A8"/>
        </w:rPr>
        <w:t xml:space="preserve"> 255-33-13, e</w:t>
      </w:r>
      <w:r w:rsidRPr="00AF35E2">
        <w:rPr>
          <w:color w:val="1829A8"/>
          <w:lang w:val="ru-RU"/>
        </w:rPr>
        <w:t>-</w:t>
      </w:r>
      <w:proofErr w:type="spellStart"/>
      <w:r w:rsidRPr="00AF35E2">
        <w:rPr>
          <w:color w:val="1829A8"/>
        </w:rPr>
        <w:t>mail</w:t>
      </w:r>
      <w:proofErr w:type="spellEnd"/>
      <w:r w:rsidRPr="00AF35E2">
        <w:rPr>
          <w:color w:val="1829A8"/>
          <w:lang w:val="ru-RU"/>
        </w:rPr>
        <w:t xml:space="preserve">: </w:t>
      </w:r>
      <w:proofErr w:type="spellStart"/>
      <w:r w:rsidRPr="00920036">
        <w:rPr>
          <w:color w:val="002060"/>
        </w:rPr>
        <w:t>comeuroint</w:t>
      </w:r>
      <w:proofErr w:type="spellEnd"/>
      <w:r w:rsidRPr="00920036">
        <w:rPr>
          <w:color w:val="002060"/>
          <w:lang w:val="ru-RU"/>
        </w:rPr>
        <w:t>@</w:t>
      </w:r>
      <w:r w:rsidRPr="00920036">
        <w:rPr>
          <w:color w:val="002060"/>
        </w:rPr>
        <w:t>v</w:t>
      </w:r>
      <w:r w:rsidRPr="00920036">
        <w:rPr>
          <w:color w:val="002060"/>
          <w:lang w:val="ru-RU"/>
        </w:rPr>
        <w:t>.</w:t>
      </w:r>
      <w:proofErr w:type="spellStart"/>
      <w:r w:rsidRPr="00920036">
        <w:rPr>
          <w:color w:val="002060"/>
        </w:rPr>
        <w:t>rada</w:t>
      </w:r>
      <w:proofErr w:type="spellEnd"/>
      <w:r w:rsidRPr="00920036">
        <w:rPr>
          <w:color w:val="002060"/>
          <w:lang w:val="ru-RU"/>
        </w:rPr>
        <w:t>.</w:t>
      </w:r>
      <w:proofErr w:type="spellStart"/>
      <w:r w:rsidRPr="00920036">
        <w:rPr>
          <w:color w:val="002060"/>
        </w:rPr>
        <w:t>gov</w:t>
      </w:r>
      <w:proofErr w:type="spellEnd"/>
      <w:r w:rsidRPr="00920036">
        <w:rPr>
          <w:color w:val="002060"/>
          <w:lang w:val="ru-RU"/>
        </w:rPr>
        <w:t>.</w:t>
      </w:r>
      <w:proofErr w:type="spellStart"/>
      <w:r w:rsidRPr="00920036">
        <w:rPr>
          <w:color w:val="002060"/>
        </w:rPr>
        <w:t>ua</w:t>
      </w:r>
      <w:proofErr w:type="spellEnd"/>
    </w:p>
    <w:p w:rsidR="00116A10" w:rsidRPr="003E4AE0" w:rsidRDefault="00116A10" w:rsidP="00116A10"/>
    <w:p w:rsidR="001A6960" w:rsidRPr="004301E1" w:rsidRDefault="001A6960" w:rsidP="008D77C6">
      <w:pPr>
        <w:ind w:firstLine="567"/>
        <w:jc w:val="center"/>
        <w:outlineLvl w:val="4"/>
        <w:rPr>
          <w:b/>
          <w:bCs/>
        </w:rPr>
      </w:pPr>
      <w:r w:rsidRPr="004301E1">
        <w:rPr>
          <w:b/>
          <w:bCs/>
        </w:rPr>
        <w:t>ВИСНОВОК</w:t>
      </w:r>
    </w:p>
    <w:p w:rsidR="001A6960" w:rsidRPr="004301E1" w:rsidRDefault="001A6960" w:rsidP="008D77C6">
      <w:pPr>
        <w:ind w:firstLine="567"/>
        <w:jc w:val="center"/>
        <w:outlineLvl w:val="4"/>
        <w:rPr>
          <w:b/>
        </w:rPr>
      </w:pPr>
      <w:r w:rsidRPr="004301E1">
        <w:rPr>
          <w:b/>
          <w:bCs/>
        </w:rPr>
        <w:t xml:space="preserve">Комітету Верховної Ради України з питань </w:t>
      </w:r>
      <w:r w:rsidRPr="004301E1">
        <w:rPr>
          <w:b/>
        </w:rPr>
        <w:t>інтеграції України з Європейським Союзом щодо проекту Закону України</w:t>
      </w:r>
    </w:p>
    <w:p w:rsidR="001A6960" w:rsidRDefault="0091220F" w:rsidP="00EE2A35">
      <w:pPr>
        <w:pStyle w:val="3"/>
        <w:shd w:val="clear" w:color="auto" w:fill="FFFFFF"/>
        <w:spacing w:before="0" w:beforeAutospacing="0" w:after="0" w:afterAutospacing="0" w:line="270" w:lineRule="atLeast"/>
        <w:jc w:val="center"/>
        <w:textAlignment w:val="baseline"/>
        <w:rPr>
          <w:sz w:val="28"/>
          <w:szCs w:val="28"/>
        </w:rPr>
      </w:pPr>
      <w:r w:rsidRPr="004301E1">
        <w:rPr>
          <w:sz w:val="28"/>
          <w:szCs w:val="28"/>
        </w:rPr>
        <w:t>«</w:t>
      </w:r>
      <w:r w:rsidR="00EE2A35" w:rsidRPr="004301E1">
        <w:rPr>
          <w:sz w:val="28"/>
          <w:szCs w:val="28"/>
          <w:lang w:eastAsia="ru-RU"/>
        </w:rPr>
        <w:t>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w:t>
      </w:r>
      <w:r w:rsidR="001A6960" w:rsidRPr="004301E1">
        <w:rPr>
          <w:sz w:val="28"/>
          <w:szCs w:val="28"/>
        </w:rPr>
        <w:t>»</w:t>
      </w:r>
      <w:r w:rsidR="007B2CFA" w:rsidRPr="007B2CFA">
        <w:rPr>
          <w:sz w:val="28"/>
          <w:szCs w:val="28"/>
        </w:rPr>
        <w:t xml:space="preserve"> </w:t>
      </w:r>
      <w:r w:rsidR="00571A45" w:rsidRPr="004301E1">
        <w:rPr>
          <w:sz w:val="28"/>
          <w:szCs w:val="28"/>
        </w:rPr>
        <w:t>(реєстр. №</w:t>
      </w:r>
      <w:r w:rsidR="00EE2A35" w:rsidRPr="004301E1">
        <w:rPr>
          <w:sz w:val="28"/>
          <w:szCs w:val="28"/>
        </w:rPr>
        <w:t>3711</w:t>
      </w:r>
      <w:r w:rsidR="001A6960" w:rsidRPr="004301E1">
        <w:rPr>
          <w:sz w:val="28"/>
          <w:szCs w:val="28"/>
        </w:rPr>
        <w:t xml:space="preserve"> від </w:t>
      </w:r>
      <w:r w:rsidR="00EE2A35" w:rsidRPr="004301E1">
        <w:rPr>
          <w:sz w:val="28"/>
          <w:szCs w:val="28"/>
          <w:shd w:val="clear" w:color="auto" w:fill="FFFFFF"/>
        </w:rPr>
        <w:t>22</w:t>
      </w:r>
      <w:r w:rsidR="00913094" w:rsidRPr="004301E1">
        <w:rPr>
          <w:sz w:val="28"/>
          <w:szCs w:val="28"/>
          <w:shd w:val="clear" w:color="auto" w:fill="FFFFFF"/>
        </w:rPr>
        <w:t>.06</w:t>
      </w:r>
      <w:r w:rsidR="001A6960" w:rsidRPr="004301E1">
        <w:rPr>
          <w:sz w:val="28"/>
          <w:szCs w:val="28"/>
          <w:shd w:val="clear" w:color="auto" w:fill="FFFFFF"/>
        </w:rPr>
        <w:t xml:space="preserve">.2020 </w:t>
      </w:r>
      <w:r w:rsidR="001A6960" w:rsidRPr="004301E1">
        <w:rPr>
          <w:sz w:val="28"/>
          <w:szCs w:val="28"/>
        </w:rPr>
        <w:t xml:space="preserve">р., </w:t>
      </w:r>
      <w:r w:rsidR="00EE2A35" w:rsidRPr="004301E1">
        <w:rPr>
          <w:sz w:val="28"/>
          <w:szCs w:val="28"/>
        </w:rPr>
        <w:t>Президент України</w:t>
      </w:r>
      <w:r w:rsidR="00913094" w:rsidRPr="004301E1">
        <w:rPr>
          <w:sz w:val="28"/>
          <w:szCs w:val="28"/>
        </w:rPr>
        <w:t xml:space="preserve">, </w:t>
      </w:r>
      <w:r w:rsidR="00EE2A35" w:rsidRPr="004301E1">
        <w:rPr>
          <w:sz w:val="28"/>
          <w:szCs w:val="28"/>
        </w:rPr>
        <w:t>В</w:t>
      </w:r>
      <w:r w:rsidR="00913094" w:rsidRPr="004301E1">
        <w:rPr>
          <w:sz w:val="28"/>
          <w:szCs w:val="28"/>
        </w:rPr>
        <w:t xml:space="preserve">. </w:t>
      </w:r>
      <w:r w:rsidR="00EE2A35" w:rsidRPr="004301E1">
        <w:rPr>
          <w:sz w:val="28"/>
          <w:szCs w:val="28"/>
        </w:rPr>
        <w:t>Зеленський</w:t>
      </w:r>
      <w:r w:rsidR="001A6960" w:rsidRPr="004301E1">
        <w:rPr>
          <w:sz w:val="28"/>
          <w:szCs w:val="28"/>
        </w:rPr>
        <w:t>)</w:t>
      </w:r>
    </w:p>
    <w:p w:rsidR="00116A10" w:rsidRDefault="00116A10" w:rsidP="00116A10">
      <w:pPr>
        <w:pStyle w:val="a7"/>
        <w:rPr>
          <w:lang w:val="ru-RU"/>
        </w:rPr>
      </w:pPr>
    </w:p>
    <w:p w:rsidR="00116A10" w:rsidRPr="00785037" w:rsidRDefault="00116A10" w:rsidP="00116A10">
      <w:pPr>
        <w:pStyle w:val="a7"/>
        <w:rPr>
          <w:lang w:val="ru-RU"/>
        </w:rPr>
      </w:pPr>
      <w:proofErr w:type="spellStart"/>
      <w:r w:rsidRPr="00FB30E4">
        <w:rPr>
          <w:lang w:val="ru-RU"/>
        </w:rPr>
        <w:t>К</w:t>
      </w:r>
      <w:r w:rsidRPr="00FB30E4">
        <w:rPr>
          <w:rFonts w:eastAsia="MS Mincho"/>
          <w:lang w:val="ru-RU"/>
        </w:rPr>
        <w:t>омітет</w:t>
      </w:r>
      <w:proofErr w:type="spellEnd"/>
      <w:r w:rsidRPr="00FB30E4">
        <w:rPr>
          <w:rFonts w:eastAsia="MS Mincho"/>
          <w:lang w:val="ru-RU"/>
        </w:rPr>
        <w:t xml:space="preserve"> </w:t>
      </w:r>
      <w:proofErr w:type="spellStart"/>
      <w:r w:rsidRPr="00FB30E4">
        <w:rPr>
          <w:rFonts w:eastAsia="MS Mincho"/>
          <w:lang w:val="ru-RU"/>
        </w:rPr>
        <w:t>розглянув</w:t>
      </w:r>
      <w:proofErr w:type="spellEnd"/>
      <w:r w:rsidRPr="00FB30E4">
        <w:rPr>
          <w:rFonts w:eastAsia="MS Mincho"/>
          <w:lang w:val="ru-RU"/>
        </w:rPr>
        <w:t xml:space="preserve"> проект Закону на </w:t>
      </w:r>
      <w:proofErr w:type="spellStart"/>
      <w:r w:rsidRPr="00FB30E4">
        <w:rPr>
          <w:rFonts w:eastAsia="MS Mincho"/>
          <w:lang w:val="ru-RU"/>
        </w:rPr>
        <w:t>своєму</w:t>
      </w:r>
      <w:proofErr w:type="spellEnd"/>
      <w:r w:rsidRPr="00FB30E4">
        <w:rPr>
          <w:rFonts w:eastAsia="MS Mincho"/>
          <w:lang w:val="ru-RU"/>
        </w:rPr>
        <w:t xml:space="preserve"> </w:t>
      </w:r>
      <w:proofErr w:type="spellStart"/>
      <w:r w:rsidRPr="00FB30E4">
        <w:rPr>
          <w:rFonts w:eastAsia="MS Mincho"/>
          <w:lang w:val="ru-RU"/>
        </w:rPr>
        <w:t>засіданні</w:t>
      </w:r>
      <w:proofErr w:type="spellEnd"/>
      <w:r w:rsidRPr="00FB30E4">
        <w:rPr>
          <w:rFonts w:eastAsia="MS Mincho"/>
          <w:lang w:val="ru-RU"/>
        </w:rPr>
        <w:t xml:space="preserve"> </w:t>
      </w:r>
      <w:r w:rsidRPr="00116A10">
        <w:rPr>
          <w:rFonts w:eastAsia="MS Mincho"/>
          <w:lang w:val="ru-RU"/>
        </w:rPr>
        <w:t>04</w:t>
      </w:r>
      <w:r>
        <w:rPr>
          <w:rFonts w:eastAsia="MS Mincho"/>
          <w:lang w:val="ru-RU"/>
        </w:rPr>
        <w:t xml:space="preserve"> </w:t>
      </w:r>
      <w:r>
        <w:rPr>
          <w:rFonts w:eastAsia="MS Mincho"/>
          <w:lang w:val="uk-UA"/>
        </w:rPr>
        <w:t>листопада</w:t>
      </w:r>
      <w:r>
        <w:rPr>
          <w:rFonts w:eastAsia="MS Mincho"/>
          <w:lang w:val="ru-RU"/>
        </w:rPr>
        <w:t xml:space="preserve"> 2020 року (протокол № </w:t>
      </w:r>
      <w:r w:rsidR="007B2CFA" w:rsidRPr="007B2CFA">
        <w:rPr>
          <w:rFonts w:eastAsia="MS Mincho"/>
          <w:lang w:val="ru-RU"/>
        </w:rPr>
        <w:t>52</w:t>
      </w:r>
      <w:r w:rsidRPr="00FB30E4">
        <w:rPr>
          <w:rFonts w:eastAsia="MS Mincho"/>
          <w:lang w:val="ru-RU"/>
        </w:rPr>
        <w:t xml:space="preserve">) </w:t>
      </w:r>
      <w:proofErr w:type="spellStart"/>
      <w:r w:rsidRPr="00FB30E4">
        <w:rPr>
          <w:rFonts w:eastAsia="MS Mincho"/>
          <w:lang w:val="ru-RU"/>
        </w:rPr>
        <w:t>в</w:t>
      </w:r>
      <w:r w:rsidRPr="00FB30E4">
        <w:rPr>
          <w:lang w:val="ru-RU"/>
        </w:rPr>
        <w:t>ідповідно</w:t>
      </w:r>
      <w:proofErr w:type="spellEnd"/>
      <w:r w:rsidRPr="00FB30E4">
        <w:rPr>
          <w:lang w:val="ru-RU"/>
        </w:rPr>
        <w:t xml:space="preserve"> до </w:t>
      </w:r>
      <w:proofErr w:type="spellStart"/>
      <w:r w:rsidRPr="00FB30E4">
        <w:rPr>
          <w:lang w:val="ru-RU"/>
        </w:rPr>
        <w:t>статті</w:t>
      </w:r>
      <w:proofErr w:type="spellEnd"/>
      <w:r w:rsidRPr="00FB30E4">
        <w:rPr>
          <w:lang w:val="ru-RU"/>
        </w:rPr>
        <w:t xml:space="preserve"> 93 Регламенту </w:t>
      </w:r>
      <w:proofErr w:type="spellStart"/>
      <w:r w:rsidRPr="00FB30E4">
        <w:rPr>
          <w:lang w:val="ru-RU"/>
        </w:rPr>
        <w:t>Верховної</w:t>
      </w:r>
      <w:proofErr w:type="spellEnd"/>
      <w:r w:rsidRPr="00FB30E4">
        <w:rPr>
          <w:lang w:val="ru-RU"/>
        </w:rPr>
        <w:t xml:space="preserve"> Ради </w:t>
      </w:r>
      <w:proofErr w:type="spellStart"/>
      <w:r w:rsidRPr="00FB30E4">
        <w:rPr>
          <w:lang w:val="ru-RU"/>
        </w:rPr>
        <w:t>України</w:t>
      </w:r>
      <w:proofErr w:type="spellEnd"/>
      <w:r>
        <w:rPr>
          <w:lang w:val="ru-RU"/>
        </w:rPr>
        <w:t>.</w:t>
      </w:r>
    </w:p>
    <w:p w:rsidR="00116A10" w:rsidRPr="004301E1" w:rsidRDefault="00116A10" w:rsidP="00EE2A35">
      <w:pPr>
        <w:pStyle w:val="3"/>
        <w:shd w:val="clear" w:color="auto" w:fill="FFFFFF"/>
        <w:spacing w:before="0" w:beforeAutospacing="0" w:after="0" w:afterAutospacing="0" w:line="270" w:lineRule="atLeast"/>
        <w:jc w:val="center"/>
        <w:textAlignment w:val="baseline"/>
        <w:rPr>
          <w:color w:val="333333"/>
          <w:sz w:val="28"/>
          <w:szCs w:val="28"/>
          <w:lang w:eastAsia="ru-RU"/>
        </w:rPr>
      </w:pPr>
    </w:p>
    <w:p w:rsidR="001A6960" w:rsidRPr="004301E1" w:rsidRDefault="001A6960" w:rsidP="008D77C6">
      <w:pPr>
        <w:spacing w:before="60" w:after="60"/>
        <w:ind w:firstLine="567"/>
        <w:rPr>
          <w:b/>
        </w:rPr>
      </w:pPr>
      <w:r w:rsidRPr="004301E1">
        <w:rPr>
          <w:b/>
        </w:rPr>
        <w:t>1. Загальна характеристика законопроекту.</w:t>
      </w:r>
    </w:p>
    <w:p w:rsidR="00EE2A35" w:rsidRPr="00742B25" w:rsidRDefault="00913094" w:rsidP="00742B25">
      <w:pPr>
        <w:widowControl w:val="0"/>
        <w:autoSpaceDE w:val="0"/>
        <w:autoSpaceDN w:val="0"/>
        <w:adjustRightInd w:val="0"/>
        <w:ind w:firstLine="720"/>
        <w:jc w:val="both"/>
      </w:pPr>
      <w:r w:rsidRPr="004301E1">
        <w:rPr>
          <w:bCs/>
          <w:lang w:eastAsia="ar-SA"/>
        </w:rPr>
        <w:t xml:space="preserve">Відповідно до пояснювальної записки, </w:t>
      </w:r>
      <w:r w:rsidRPr="004301E1">
        <w:t xml:space="preserve">метою проекту </w:t>
      </w:r>
      <w:proofErr w:type="spellStart"/>
      <w:r w:rsidRPr="004301E1">
        <w:t>акта</w:t>
      </w:r>
      <w:proofErr w:type="spellEnd"/>
      <w:r w:rsidRPr="004301E1">
        <w:t xml:space="preserve"> </w:t>
      </w:r>
      <w:r w:rsidR="00EE2A35" w:rsidRPr="004301E1">
        <w:rPr>
          <w:spacing w:val="-6"/>
        </w:rPr>
        <w:t xml:space="preserve">є приведення положень законодавства України у відповідність із рішеннями Конституційного Суду України </w:t>
      </w:r>
      <w:r w:rsidR="00EE2A35" w:rsidRPr="004301E1">
        <w:t>від 18 лютого 2020 року № 2-р/2020 та від 11 березня 2020 року № 4-р/2020, а також удосконалення процедури формування та діяльності органів суддівського врядування</w:t>
      </w:r>
      <w:r w:rsidR="00EE2A35" w:rsidRPr="004301E1">
        <w:rPr>
          <w:spacing w:val="-6"/>
        </w:rPr>
        <w:t xml:space="preserve">. Також, у пояснювальній записці зазначено, що </w:t>
      </w:r>
      <w:r w:rsidR="00EE2A35" w:rsidRPr="004301E1">
        <w:t>Прийняття відповідного Закону забезпечить виконання рішень Конституційного Суду України, дасть змогу сформувати Вищу кваліфікаційну комісію суддів України, на яку покладаються функції щодо добору та оцінювання суддів.</w:t>
      </w:r>
    </w:p>
    <w:p w:rsidR="001A6960" w:rsidRPr="004301E1" w:rsidRDefault="001A6960" w:rsidP="00EE2A35">
      <w:pPr>
        <w:ind w:firstLine="709"/>
        <w:jc w:val="both"/>
        <w:rPr>
          <w:b/>
          <w:bCs/>
        </w:rPr>
      </w:pPr>
      <w:r w:rsidRPr="004301E1">
        <w:rPr>
          <w:rFonts w:eastAsia="Verdana"/>
          <w:b/>
          <w:bCs/>
        </w:rPr>
        <w:t>2.  </w:t>
      </w:r>
      <w:r w:rsidRPr="004301E1">
        <w:rPr>
          <w:b/>
          <w:bCs/>
        </w:rPr>
        <w:t>Належність законопроекту за предметом правового регулювання до сфери дії права Європейського Союзу.</w:t>
      </w:r>
    </w:p>
    <w:p w:rsidR="001A6960" w:rsidRPr="004301E1" w:rsidRDefault="001A6960" w:rsidP="008D77C6">
      <w:pPr>
        <w:spacing w:before="60" w:after="60"/>
        <w:ind w:firstLine="567"/>
        <w:jc w:val="both"/>
      </w:pPr>
      <w:r w:rsidRPr="004301E1">
        <w:t>Предмет правового регулювання законопроекту охоплюється положеннями статті 14 «Верховенство права та повага до прав людини і основоположних свобод»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B6621" w:rsidRPr="004301E1" w:rsidRDefault="001A6960" w:rsidP="008D77C6">
      <w:pPr>
        <w:pStyle w:val="11"/>
        <w:spacing w:before="60" w:after="60" w:line="240" w:lineRule="auto"/>
        <w:ind w:left="0" w:firstLine="567"/>
        <w:jc w:val="both"/>
        <w:rPr>
          <w:rFonts w:ascii="Times New Roman" w:eastAsia="Times New Roman" w:hAnsi="Times New Roman"/>
          <w:sz w:val="28"/>
          <w:szCs w:val="28"/>
          <w:lang w:val="uk-UA" w:eastAsia="ru-RU"/>
        </w:rPr>
      </w:pPr>
      <w:r w:rsidRPr="004301E1">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E67DC5" w:rsidRPr="004301E1" w:rsidRDefault="004301E1" w:rsidP="004301E1">
      <w:pPr>
        <w:pStyle w:val="a3"/>
        <w:numPr>
          <w:ilvl w:val="0"/>
          <w:numId w:val="1"/>
        </w:numPr>
        <w:jc w:val="both"/>
        <w:rPr>
          <w:i/>
        </w:rPr>
      </w:pPr>
      <w:r w:rsidRPr="004301E1">
        <w:rPr>
          <w:i/>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E67DC5" w:rsidRPr="004301E1">
        <w:rPr>
          <w:i/>
        </w:rPr>
        <w:t>;</w:t>
      </w:r>
    </w:p>
    <w:p w:rsidR="00E67DC5" w:rsidRPr="004301E1" w:rsidRDefault="004301E1" w:rsidP="004301E1">
      <w:pPr>
        <w:pStyle w:val="a3"/>
        <w:numPr>
          <w:ilvl w:val="0"/>
          <w:numId w:val="1"/>
        </w:numPr>
        <w:jc w:val="both"/>
        <w:rPr>
          <w:i/>
        </w:rPr>
      </w:pPr>
      <w:r w:rsidRPr="004301E1">
        <w:rPr>
          <w:bCs/>
          <w:i/>
        </w:rPr>
        <w:t>Висновком</w:t>
      </w:r>
      <w:r w:rsidR="003C03A2">
        <w:rPr>
          <w:rStyle w:val="a4"/>
          <w:b w:val="0"/>
          <w:i/>
          <w:color w:val="1D1D1B"/>
          <w:bdr w:val="none" w:sz="0" w:space="0" w:color="auto" w:frame="1"/>
          <w:shd w:val="clear" w:color="auto" w:fill="FFFFFF"/>
        </w:rPr>
        <w:t xml:space="preserve"> Європейської комісії</w:t>
      </w:r>
      <w:r w:rsidRPr="004301E1">
        <w:rPr>
          <w:rStyle w:val="a4"/>
          <w:b w:val="0"/>
          <w:i/>
          <w:color w:val="1D1D1B"/>
          <w:bdr w:val="none" w:sz="0" w:space="0" w:color="auto" w:frame="1"/>
          <w:shd w:val="clear" w:color="auto" w:fill="FFFFFF"/>
        </w:rPr>
        <w:t xml:space="preserve"> «За демократію через право» (Венеціанська комісія) щодо проекту Закону </w:t>
      </w:r>
      <w:r w:rsidRPr="004301E1">
        <w:rPr>
          <w:bCs/>
          <w:i/>
        </w:rPr>
        <w:t xml:space="preserve"> </w:t>
      </w:r>
      <w:r w:rsidRPr="004301E1">
        <w:rPr>
          <w:i/>
        </w:rPr>
        <w:t xml:space="preserve">«Про внесення змін до Закону України «Про судоустрій і статус суддів» та деяких законів </w:t>
      </w:r>
      <w:r w:rsidRPr="004301E1">
        <w:rPr>
          <w:i/>
        </w:rPr>
        <w:lastRenderedPageBreak/>
        <w:t>України щодо діяльності Верховного Суду та органів суддівського врядування»(№3711) від 8-9 жовтня 2020 року</w:t>
      </w:r>
      <w:r w:rsidR="00E67DC5" w:rsidRPr="004301E1">
        <w:rPr>
          <w:bCs/>
          <w:i/>
        </w:rPr>
        <w:t>;</w:t>
      </w:r>
    </w:p>
    <w:p w:rsidR="001A6960" w:rsidRPr="004301E1" w:rsidRDefault="001A6960" w:rsidP="008D77C6">
      <w:pPr>
        <w:pStyle w:val="a3"/>
        <w:jc w:val="both"/>
        <w:rPr>
          <w:b/>
        </w:rPr>
      </w:pPr>
      <w:r w:rsidRPr="004301E1">
        <w:rPr>
          <w:rFonts w:eastAsia="Verdana"/>
          <w:b/>
          <w:bCs/>
        </w:rPr>
        <w:t>3.  </w:t>
      </w:r>
      <w:r w:rsidRPr="004301E1">
        <w:rPr>
          <w:b/>
        </w:rPr>
        <w:t>Відповідність законопроекту праву ЄС.</w:t>
      </w:r>
    </w:p>
    <w:p w:rsidR="001A6960" w:rsidRPr="004301E1" w:rsidRDefault="001A6960" w:rsidP="00D31504">
      <w:pPr>
        <w:pStyle w:val="11"/>
        <w:tabs>
          <w:tab w:val="left" w:pos="851"/>
        </w:tabs>
        <w:spacing w:after="0" w:line="240" w:lineRule="auto"/>
        <w:ind w:left="0" w:firstLine="567"/>
        <w:jc w:val="both"/>
        <w:rPr>
          <w:rFonts w:ascii="Times New Roman" w:eastAsia="Times New Roman" w:hAnsi="Times New Roman"/>
          <w:sz w:val="28"/>
          <w:szCs w:val="28"/>
          <w:lang w:val="uk-UA" w:eastAsia="ru-RU"/>
        </w:rPr>
      </w:pPr>
      <w:r w:rsidRPr="004301E1">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4301E1">
        <w:rPr>
          <w:rFonts w:ascii="Times New Roman" w:eastAsia="Times New Roman" w:hAnsi="Times New Roman"/>
          <w:sz w:val="28"/>
          <w:szCs w:val="28"/>
          <w:lang w:val="uk-UA" w:eastAsia="ru-RU"/>
        </w:rPr>
        <w:t>aquis</w:t>
      </w:r>
      <w:proofErr w:type="spellEnd"/>
      <w:r w:rsidRPr="004301E1">
        <w:rPr>
          <w:rFonts w:ascii="Times New Roman" w:eastAsia="Times New Roman" w:hAnsi="Times New Roman"/>
          <w:sz w:val="28"/>
          <w:szCs w:val="28"/>
          <w:lang w:val="uk-UA" w:eastAsia="ru-RU"/>
        </w:rPr>
        <w:t xml:space="preserve"> ЄС та Угоді про асоціацію слід зазначити таке.</w:t>
      </w:r>
    </w:p>
    <w:p w:rsidR="00B51AE0" w:rsidRPr="004301E1" w:rsidRDefault="00B51AE0" w:rsidP="00D31504">
      <w:pPr>
        <w:shd w:val="clear" w:color="auto" w:fill="FFFFFF"/>
        <w:ind w:firstLine="709"/>
        <w:jc w:val="both"/>
        <w:textAlignment w:val="baseline"/>
      </w:pPr>
      <w:r w:rsidRPr="004301E1">
        <w:t xml:space="preserve">Метою даного проекту Закону, відповідно до пояснювальної записки, є удосконалення процедури формування та діяльності органів суддівського врядування, а отже, за метою законопроект </w:t>
      </w:r>
      <w:r w:rsidRPr="004301E1">
        <w:rPr>
          <w:i/>
          <w:u w:val="single"/>
        </w:rPr>
        <w:t xml:space="preserve">не суперечить </w:t>
      </w:r>
      <w:r w:rsidRPr="004301E1">
        <w:t>статтям 6 та 14 Угоди про асоціацію.</w:t>
      </w:r>
    </w:p>
    <w:p w:rsidR="009C7AE6" w:rsidRPr="004301E1" w:rsidRDefault="00B51AE0" w:rsidP="002E3B40">
      <w:pPr>
        <w:shd w:val="clear" w:color="auto" w:fill="FFFFFF"/>
        <w:ind w:firstLine="709"/>
        <w:jc w:val="both"/>
        <w:textAlignment w:val="baseline"/>
      </w:pPr>
      <w:r w:rsidRPr="004301E1">
        <w:t xml:space="preserve">Зазначимо, що </w:t>
      </w:r>
      <w:r w:rsidRPr="004301E1">
        <w:rPr>
          <w:rStyle w:val="a4"/>
          <w:b w:val="0"/>
          <w:color w:val="1D1D1B"/>
          <w:bdr w:val="none" w:sz="0" w:space="0" w:color="auto" w:frame="1"/>
          <w:shd w:val="clear" w:color="auto" w:fill="FFFFFF"/>
        </w:rPr>
        <w:t>Європейська комісія «За демократію через право» (Венеціанська комісія) прийняла спільний висновок щодо законопроекту №3711</w:t>
      </w:r>
      <w:r w:rsidR="002E3B40" w:rsidRPr="004301E1">
        <w:rPr>
          <w:rStyle w:val="a4"/>
          <w:b w:val="0"/>
          <w:color w:val="1D1D1B"/>
          <w:bdr w:val="none" w:sz="0" w:space="0" w:color="auto" w:frame="1"/>
          <w:shd w:val="clear" w:color="auto" w:fill="FFFFFF"/>
        </w:rPr>
        <w:t>. Комісія наголошує,</w:t>
      </w:r>
      <w:r w:rsidR="002E3B40" w:rsidRPr="004301E1">
        <w:rPr>
          <w:rStyle w:val="a4"/>
          <w:color w:val="1D1D1B"/>
          <w:bdr w:val="none" w:sz="0" w:space="0" w:color="auto" w:frame="1"/>
          <w:shd w:val="clear" w:color="auto" w:fill="FFFFFF"/>
        </w:rPr>
        <w:t xml:space="preserve"> </w:t>
      </w:r>
      <w:r w:rsidR="0085417E" w:rsidRPr="004301E1">
        <w:t xml:space="preserve">що «з огляду на паралелізм термінових та більш структурних змін, викладених вище, </w:t>
      </w:r>
      <w:r w:rsidR="002E3B40" w:rsidRPr="004301E1">
        <w:t xml:space="preserve">Комісія </w:t>
      </w:r>
      <w:r w:rsidR="0085417E" w:rsidRPr="004301E1">
        <w:t>рекомендує вилучити більш структурні змін на даний момент, висвітливши їх окремим законопроектом</w:t>
      </w:r>
      <w:r w:rsidR="0085417E" w:rsidRPr="004301E1">
        <w:rPr>
          <w:b/>
          <w:bCs/>
          <w:color w:val="1D1D1B"/>
          <w:bdr w:val="none" w:sz="0" w:space="0" w:color="auto" w:frame="1"/>
          <w:shd w:val="clear" w:color="auto" w:fill="FFFFFF"/>
        </w:rPr>
        <w:t xml:space="preserve">, </w:t>
      </w:r>
      <w:r w:rsidR="0085417E" w:rsidRPr="004301E1">
        <w:t>що має мати більш цілісний вигляд. Однак деякі необхідні зміни, зокрема, що стосуються забезпечення доброчесності членів ВРП, є більш складними, а тому необхідна ґрунтовна та всеохоплююча дискусія з усіма зацікавленими сторонами. Існує реальний ризик прийняття єдиного закону, який на цьому етапі може затримати термінове призначення суддів першої і другої інстанції. Питання, що стосуються доброчесності членів ВРП також мають терміновий характер і не повинні затримуватися</w:t>
      </w:r>
      <w:r w:rsidR="00EB328B" w:rsidRPr="004301E1">
        <w:t>»</w:t>
      </w:r>
      <w:r w:rsidR="002E3B40" w:rsidRPr="004301E1">
        <w:t>.</w:t>
      </w:r>
    </w:p>
    <w:p w:rsidR="00B51AE0" w:rsidRPr="004301E1" w:rsidRDefault="002E3B40" w:rsidP="00D31504">
      <w:pPr>
        <w:shd w:val="clear" w:color="auto" w:fill="FFFFFF"/>
        <w:ind w:firstLine="709"/>
        <w:jc w:val="both"/>
        <w:textAlignment w:val="baseline"/>
      </w:pPr>
      <w:r w:rsidRPr="004301E1">
        <w:t>Як зазначено у пункті 37 висновку: «</w:t>
      </w:r>
      <w:r w:rsidR="00EB328B" w:rsidRPr="004301E1">
        <w:t xml:space="preserve">Комісія </w:t>
      </w:r>
      <w:r w:rsidR="00EB328B" w:rsidRPr="004301E1">
        <w:rPr>
          <w:i/>
          <w:u w:val="single"/>
        </w:rPr>
        <w:t>вітає</w:t>
      </w:r>
      <w:r w:rsidR="00EB328B" w:rsidRPr="004301E1">
        <w:t xml:space="preserve"> </w:t>
      </w:r>
      <w:r w:rsidR="006A04FD" w:rsidRPr="004301E1">
        <w:t>спрямованість проекту Закону №3711 на відновлення ВККС для перезапуску процедури відбору суд</w:t>
      </w:r>
      <w:r w:rsidRPr="004301E1">
        <w:t>дів першої та другої інстанції».</w:t>
      </w:r>
    </w:p>
    <w:p w:rsidR="006A04FD" w:rsidRPr="004301E1" w:rsidRDefault="002E3B40" w:rsidP="00A248E6">
      <w:pPr>
        <w:ind w:firstLine="567"/>
        <w:jc w:val="both"/>
      </w:pPr>
      <w:r w:rsidRPr="004301E1">
        <w:t>Венеціанська комісія у пункті 39 свого висновку зазначає:</w:t>
      </w:r>
      <w:r w:rsidR="00A248E6" w:rsidRPr="004301E1">
        <w:t xml:space="preserve"> </w:t>
      </w:r>
      <w:r w:rsidRPr="004301E1">
        <w:t>«</w:t>
      </w:r>
      <w:r w:rsidR="00A248E6" w:rsidRPr="004301E1">
        <w:t>п</w:t>
      </w:r>
      <w:r w:rsidR="006A04FD" w:rsidRPr="004301E1">
        <w:t>роект Закону спрямований на реструктурування позиції ВККС та ВРП, шляхом встановлення підпорядкування ВККС Вищій раді правосуддя. Однак, взаємодія цих органів повинна відбуватися тільки у рамках ширшої реформи</w:t>
      </w:r>
      <w:r w:rsidRPr="004301E1">
        <w:t>»</w:t>
      </w:r>
      <w:r w:rsidR="006A04FD" w:rsidRPr="004301E1">
        <w:t xml:space="preserve">. </w:t>
      </w:r>
      <w:r w:rsidRPr="004301E1">
        <w:t>Також, у пункті 39 додається: «</w:t>
      </w:r>
      <w:r w:rsidR="006A04FD" w:rsidRPr="004301E1">
        <w:t xml:space="preserve">До того, </w:t>
      </w:r>
      <w:r w:rsidR="00E44201" w:rsidRPr="004301E1">
        <w:t>ВРП не повинна отримати ширші повн</w:t>
      </w:r>
      <w:r w:rsidRPr="004301E1">
        <w:t xml:space="preserve">оваження по відношенню до ВККС», а отже дане положення законопроекту </w:t>
      </w:r>
      <w:r w:rsidRPr="004301E1">
        <w:rPr>
          <w:i/>
          <w:u w:val="single"/>
        </w:rPr>
        <w:t>не відповідає</w:t>
      </w:r>
      <w:r w:rsidRPr="004301E1">
        <w:t xml:space="preserve"> пункту 39  Висновку Венеціанської комісії від 8-9 жовтня 2020 року, а відтак потребує доопрацювання.</w:t>
      </w:r>
    </w:p>
    <w:p w:rsidR="00474359" w:rsidRPr="004301E1" w:rsidRDefault="002E3B40" w:rsidP="008D15D3">
      <w:pPr>
        <w:shd w:val="clear" w:color="auto" w:fill="FFFFFF"/>
        <w:ind w:firstLine="601"/>
        <w:jc w:val="both"/>
      </w:pPr>
      <w:r w:rsidRPr="004301E1">
        <w:t xml:space="preserve">Стаття 95-1 Закону України "Про судоустрій і статус суддів" у редакції проекту Закону №3711 </w:t>
      </w:r>
      <w:r w:rsidRPr="004301E1">
        <w:rPr>
          <w:i/>
          <w:u w:val="single"/>
        </w:rPr>
        <w:t>не суперечить</w:t>
      </w:r>
      <w:r w:rsidRPr="004301E1">
        <w:t xml:space="preserve"> пунктам 40 та 41 висновку Венеціанська комісії, де:</w:t>
      </w:r>
      <w:r w:rsidR="008D15D3" w:rsidRPr="004301E1">
        <w:t xml:space="preserve"> </w:t>
      </w:r>
      <w:r w:rsidRPr="004301E1">
        <w:t xml:space="preserve">«комісія </w:t>
      </w:r>
      <w:r w:rsidR="008D15D3" w:rsidRPr="004301E1">
        <w:rPr>
          <w:i/>
          <w:u w:val="single"/>
        </w:rPr>
        <w:t>вітає</w:t>
      </w:r>
      <w:r w:rsidR="008D15D3" w:rsidRPr="004301E1">
        <w:rPr>
          <w:i/>
        </w:rPr>
        <w:t xml:space="preserve"> </w:t>
      </w:r>
      <w:r w:rsidR="008D15D3" w:rsidRPr="004301E1">
        <w:t>дотримання попередніх рекомендацій Комісії щодо кількості осіб у складі конкурсної комісії щодо трьох осіб з</w:t>
      </w:r>
      <w:r w:rsidR="008D15D3" w:rsidRPr="004301E1">
        <w:rPr>
          <w:b/>
        </w:rPr>
        <w:t xml:space="preserve"> </w:t>
      </w:r>
      <w:r w:rsidR="008D15D3" w:rsidRPr="004301E1">
        <w:t>числа</w:t>
      </w:r>
      <w:r w:rsidR="008D15D3" w:rsidRPr="004301E1">
        <w:rPr>
          <w:b/>
        </w:rPr>
        <w:t xml:space="preserve"> </w:t>
      </w:r>
      <w:r w:rsidR="008D15D3" w:rsidRPr="004301E1">
        <w:t>суддів або суддів у відставці, запропоновані Радою суддів України та трьох осіб з числа міжнародних експертів</w:t>
      </w:r>
      <w:r w:rsidRPr="004301E1">
        <w:t xml:space="preserve">». Проте, у пункті 43 </w:t>
      </w:r>
      <w:r w:rsidR="002E0488" w:rsidRPr="004301E1">
        <w:t>додається: «о</w:t>
      </w:r>
      <w:r w:rsidR="00474359" w:rsidRPr="004301E1">
        <w:t xml:space="preserve">днак у законопроекті № 3711 </w:t>
      </w:r>
      <w:r w:rsidR="00092332" w:rsidRPr="004301E1">
        <w:t>кількість</w:t>
      </w:r>
      <w:r w:rsidR="00474359" w:rsidRPr="004301E1">
        <w:t xml:space="preserve"> міжнародних органів, які можуть призначати міжнародних членів, набагато </w:t>
      </w:r>
      <w:r w:rsidR="00092332" w:rsidRPr="004301E1">
        <w:t>більша</w:t>
      </w:r>
      <w:r w:rsidR="00474359" w:rsidRPr="004301E1">
        <w:t xml:space="preserve">, ніж це </w:t>
      </w:r>
      <w:r w:rsidR="00092332" w:rsidRPr="004301E1">
        <w:t xml:space="preserve">передбачено для </w:t>
      </w:r>
      <w:r w:rsidR="00474359" w:rsidRPr="004301E1">
        <w:t xml:space="preserve">конкурсної комісії згідно із Законом № 193-IX. Це викликає певне занепокоєння. Що стосується міжнародних експертів, </w:t>
      </w:r>
      <w:proofErr w:type="spellStart"/>
      <w:r w:rsidR="00474359" w:rsidRPr="004301E1">
        <w:t>призначальні</w:t>
      </w:r>
      <w:proofErr w:type="spellEnd"/>
      <w:r w:rsidR="00474359" w:rsidRPr="004301E1">
        <w:t xml:space="preserve"> органи повинні бути такими ж, як і у випадку з Антикорупційним судом. Венеціанська комісія рекомендує надавати повноваження щодо висунення кандидатур лише тим суб’єктам, які традиційно співпрацюють з Україною в галузі судочинства і вже уклали </w:t>
      </w:r>
      <w:r w:rsidR="002E0488" w:rsidRPr="004301E1">
        <w:t>угоди про таке співробітництво».</w:t>
      </w:r>
    </w:p>
    <w:p w:rsidR="000C1FA8" w:rsidRPr="004301E1" w:rsidRDefault="002E0488" w:rsidP="000C1FA8">
      <w:pPr>
        <w:shd w:val="clear" w:color="auto" w:fill="FFFFFF"/>
        <w:ind w:firstLine="601"/>
        <w:jc w:val="both"/>
      </w:pPr>
      <w:r w:rsidRPr="004301E1">
        <w:lastRenderedPageBreak/>
        <w:t xml:space="preserve">У пункті 4 статті 95-1 у редакції законопроекту вказано, що «У разі якщо суб'єкти формування конкурсної комісії у визначений цим Законом строк не запропонували осіб до складу конкурсної комісії чи запропонували недостатню кількість осіб для формування повноважного складу конкурсної комісії, таких осіб протягом п'ятнадцяти днів пропонує Уповноважений Верховної Ради України з прав людини». Однак, у </w:t>
      </w:r>
      <w:r w:rsidR="00B96B8A" w:rsidRPr="004301E1">
        <w:t>пункті</w:t>
      </w:r>
      <w:r w:rsidRPr="004301E1">
        <w:rPr>
          <w:b/>
        </w:rPr>
        <w:t xml:space="preserve"> </w:t>
      </w:r>
      <w:r w:rsidRPr="004301E1">
        <w:t xml:space="preserve">45 </w:t>
      </w:r>
      <w:r w:rsidR="000C1FA8" w:rsidRPr="004301E1">
        <w:t xml:space="preserve">висновку </w:t>
      </w:r>
      <w:r w:rsidRPr="004301E1">
        <w:t xml:space="preserve">Венеціанської комісії від 8-9 жовтня 2020 року </w:t>
      </w:r>
      <w:r w:rsidR="000C1FA8" w:rsidRPr="004301E1">
        <w:t xml:space="preserve">зазначається, що «функція формування складу конкурсної комісії у разі якщо суб'єкти формування конкурсної комісії не запропонували осіб до складу конкурсної комісії надається Уповноваженому Верховної Ради України з прав людини протягом п’ятнадцяти днів – повинна </w:t>
      </w:r>
      <w:r w:rsidR="000C1FA8" w:rsidRPr="004301E1">
        <w:rPr>
          <w:i/>
        </w:rPr>
        <w:t>бути довірена нейтральній стороні</w:t>
      </w:r>
      <w:r w:rsidR="000C1FA8" w:rsidRPr="004301E1">
        <w:t xml:space="preserve"> </w:t>
      </w:r>
      <w:r w:rsidR="000C1FA8" w:rsidRPr="004301E1">
        <w:rPr>
          <w:i/>
        </w:rPr>
        <w:t>або</w:t>
      </w:r>
      <w:r w:rsidR="000C1FA8" w:rsidRPr="004301E1">
        <w:t xml:space="preserve"> </w:t>
      </w:r>
      <w:r w:rsidR="000C1FA8" w:rsidRPr="004301E1">
        <w:rPr>
          <w:i/>
        </w:rPr>
        <w:t>органу</w:t>
      </w:r>
      <w:r w:rsidR="000C1FA8" w:rsidRPr="004301E1">
        <w:t xml:space="preserve">. Суб’єкти законодавчої ініціативи повинні визначитися який саме орган найбільше </w:t>
      </w:r>
      <w:r w:rsidRPr="004301E1">
        <w:t>відповідає зазначеним вимогами».</w:t>
      </w:r>
    </w:p>
    <w:p w:rsidR="00092332" w:rsidRPr="004301E1" w:rsidRDefault="00861A52" w:rsidP="000C1FA8">
      <w:pPr>
        <w:shd w:val="clear" w:color="auto" w:fill="FFFFFF"/>
        <w:ind w:firstLine="601"/>
        <w:jc w:val="both"/>
      </w:pPr>
      <w:r w:rsidRPr="004301E1">
        <w:t>Венеціанська комісія у своєму висновку підкреслює  у пункті 56, що: «</w:t>
      </w:r>
      <w:r w:rsidR="00092332" w:rsidRPr="004301E1">
        <w:t>ВРП має дотримуватися ще однієї умови, згідно з якою кількість суддів визначатиметься лише «за поданням Державної судової адміністрації України». Це заходить занадто далеко, оскільки можливості Вищої ради правосуддя підпорядковуються на розсуд Державної судової адміністрації України. Слова «за поданням» слід замінити на «після консультації», щоб забезпечити, щоб Вища рада правосуддя зберігає вирішальну роль. Така зміна може вимагати змін і для інших статей для узгодження (наприклад, статті 31)</w:t>
      </w:r>
      <w:r w:rsidRPr="004301E1">
        <w:t>».</w:t>
      </w:r>
    </w:p>
    <w:p w:rsidR="000C1FA8" w:rsidRPr="004301E1" w:rsidRDefault="00861A52" w:rsidP="000C1FA8">
      <w:pPr>
        <w:shd w:val="clear" w:color="auto" w:fill="FFFFFF"/>
        <w:ind w:firstLine="601"/>
        <w:jc w:val="both"/>
      </w:pPr>
      <w:r w:rsidRPr="004301E1">
        <w:t xml:space="preserve">Також, </w:t>
      </w:r>
      <w:r w:rsidR="00A41F99" w:rsidRPr="004301E1">
        <w:t>«(57) Венеціанська комісія користується цією можливістю, щоб підтвердити, що відповідно до європейських стандартів зменшення кількості суддів Верховного суду в будь-якому випадку не може припинити повноваження діючих суддів Верховного суду, за винятком випадків, коли існує підстава для дострокового припинення, що відповідає Конституції. Для будь-якої реорганізації Верховного суду основні принципи, що стосуються незмінюваності суддів повинні бути дотримані»;</w:t>
      </w:r>
    </w:p>
    <w:p w:rsidR="00A41F99" w:rsidRDefault="00861A52" w:rsidP="000C1FA8">
      <w:pPr>
        <w:shd w:val="clear" w:color="auto" w:fill="FFFFFF"/>
        <w:ind w:firstLine="601"/>
        <w:jc w:val="both"/>
      </w:pPr>
      <w:proofErr w:type="spellStart"/>
      <w:r w:rsidRPr="004301E1">
        <w:t>Додамо</w:t>
      </w:r>
      <w:proofErr w:type="spellEnd"/>
      <w:r w:rsidRPr="004301E1">
        <w:t xml:space="preserve">, що у </w:t>
      </w:r>
      <w:proofErr w:type="spellStart"/>
      <w:r w:rsidRPr="004301E1">
        <w:t>пукнтах</w:t>
      </w:r>
      <w:proofErr w:type="spellEnd"/>
      <w:r w:rsidRPr="004301E1">
        <w:t xml:space="preserve"> 63 та 64 висновку зазначено: </w:t>
      </w:r>
      <w:r w:rsidR="00092332" w:rsidRPr="004301E1">
        <w:t>«Стаття 96 (4) та (5) передбачає, що при виявленні фактів, які можуть призвести до звільнення члена ВККС, ВРП повинна прийнять рішення про перевірку таких фактів. З дати прийняття рішення про ініціювання цієї перевірки член Комітету відстороняється від посади, а його повноваження призупиняються до прийняття рішення ВРП.</w:t>
      </w:r>
      <w:r w:rsidR="002F614B" w:rsidRPr="004301E1">
        <w:t xml:space="preserve"> </w:t>
      </w:r>
      <w:r w:rsidR="00092332" w:rsidRPr="004301E1">
        <w:t>Це рішення є проблематичним з точки зору ефективності органу, оскільки його діяльність може бути заблокована через малу кількість членів. І це також проблематично з точки зору прав учасника. Автори проекту встановили презумпцію вини та забезпечили автоматичне призупинення діяльності відповідного члена, ще до початку перевірки, без можливості взяти до уваги конкретні обставини справ.</w:t>
      </w:r>
      <w:r w:rsidR="002F614B" w:rsidRPr="004301E1">
        <w:t xml:space="preserve"> </w:t>
      </w:r>
      <w:r w:rsidR="00092332" w:rsidRPr="004301E1">
        <w:t>Хоча можуть бути випадки, коли призупинення можливо і навіть необхідно, це має бути виняток, а не правило».</w:t>
      </w:r>
    </w:p>
    <w:p w:rsidR="00237C82" w:rsidRPr="004301E1" w:rsidRDefault="00237C82" w:rsidP="000C1FA8">
      <w:pPr>
        <w:shd w:val="clear" w:color="auto" w:fill="FFFFFF"/>
        <w:ind w:firstLine="601"/>
        <w:jc w:val="both"/>
      </w:pPr>
      <w:r>
        <w:t xml:space="preserve">Також, зазначимо, що </w:t>
      </w:r>
      <w:r w:rsidRPr="00237C82">
        <w:rPr>
          <w:rStyle w:val="a4"/>
          <w:rFonts w:ascii="ProbaPro" w:hAnsi="ProbaPro"/>
          <w:b w:val="0"/>
          <w:color w:val="1D1D1B"/>
          <w:shd w:val="clear" w:color="auto" w:fill="FFFFFF"/>
        </w:rPr>
        <w:t>Вища рада правосуддя в цілому підтримує законопроект № 3711 з необхідністю доопрацювання його окремих положень.</w:t>
      </w:r>
    </w:p>
    <w:p w:rsidR="000C1FA8" w:rsidRPr="004301E1" w:rsidRDefault="000C1FA8" w:rsidP="000C1FA8">
      <w:pPr>
        <w:shd w:val="clear" w:color="auto" w:fill="FFFFFF"/>
        <w:ind w:firstLine="601"/>
        <w:jc w:val="both"/>
        <w:rPr>
          <w:b/>
        </w:rPr>
      </w:pPr>
    </w:p>
    <w:p w:rsidR="001A6960" w:rsidRPr="004301E1" w:rsidRDefault="001A6960" w:rsidP="00D31504">
      <w:pPr>
        <w:spacing w:after="60"/>
        <w:ind w:firstLine="567"/>
        <w:jc w:val="both"/>
        <w:rPr>
          <w:bCs/>
        </w:rPr>
      </w:pPr>
      <w:r w:rsidRPr="004301E1">
        <w:rPr>
          <w:rFonts w:eastAsia="Verdana"/>
          <w:b/>
          <w:bCs/>
        </w:rPr>
        <w:t>4.</w:t>
      </w:r>
      <w:r w:rsidRPr="004301E1">
        <w:rPr>
          <w:rFonts w:eastAsia="Verdana"/>
          <w:bCs/>
        </w:rPr>
        <w:t>   </w:t>
      </w:r>
      <w:r w:rsidRPr="004301E1">
        <w:rPr>
          <w:b/>
        </w:rPr>
        <w:t xml:space="preserve">Висновок Комітету з питань інтеграції України з Європейським Союзом. </w:t>
      </w:r>
    </w:p>
    <w:p w:rsidR="001A6960" w:rsidRPr="007B2CFA" w:rsidRDefault="00571A45" w:rsidP="00116A10">
      <w:pPr>
        <w:pStyle w:val="3"/>
        <w:shd w:val="clear" w:color="auto" w:fill="FFFFFF"/>
        <w:spacing w:before="0" w:beforeAutospacing="0" w:after="0" w:afterAutospacing="0" w:line="270" w:lineRule="atLeast"/>
        <w:jc w:val="both"/>
        <w:textAlignment w:val="baseline"/>
        <w:rPr>
          <w:lang w:val="ru-RU"/>
        </w:rPr>
      </w:pPr>
      <w:r w:rsidRPr="004301E1">
        <w:rPr>
          <w:b w:val="0"/>
          <w:sz w:val="28"/>
          <w:szCs w:val="28"/>
        </w:rPr>
        <w:tab/>
      </w:r>
      <w:r w:rsidR="001A6960" w:rsidRPr="004301E1">
        <w:rPr>
          <w:b w:val="0"/>
          <w:sz w:val="28"/>
          <w:szCs w:val="28"/>
        </w:rPr>
        <w:t xml:space="preserve">Проект Закону </w:t>
      </w:r>
      <w:r w:rsidR="008864E6" w:rsidRPr="004301E1">
        <w:rPr>
          <w:b w:val="0"/>
          <w:sz w:val="28"/>
          <w:szCs w:val="28"/>
        </w:rPr>
        <w:t>«</w:t>
      </w:r>
      <w:r w:rsidR="008864E6" w:rsidRPr="004301E1">
        <w:rPr>
          <w:b w:val="0"/>
          <w:sz w:val="28"/>
          <w:szCs w:val="28"/>
          <w:lang w:eastAsia="ru-RU"/>
        </w:rPr>
        <w:t xml:space="preserve">Про внесення змін до Закону України «Про судоустрій і статус суддів» та деяких законів України щодо діяльності Верховного Суду та </w:t>
      </w:r>
      <w:r w:rsidR="008864E6" w:rsidRPr="004301E1">
        <w:rPr>
          <w:b w:val="0"/>
          <w:sz w:val="28"/>
          <w:szCs w:val="28"/>
          <w:lang w:eastAsia="ru-RU"/>
        </w:rPr>
        <w:lastRenderedPageBreak/>
        <w:t>органів суддівського врядування</w:t>
      </w:r>
      <w:r w:rsidR="008864E6" w:rsidRPr="004301E1">
        <w:rPr>
          <w:b w:val="0"/>
          <w:sz w:val="28"/>
          <w:szCs w:val="28"/>
        </w:rPr>
        <w:t xml:space="preserve">»(реєстр. №3711 від </w:t>
      </w:r>
      <w:r w:rsidR="008864E6" w:rsidRPr="004301E1">
        <w:rPr>
          <w:b w:val="0"/>
          <w:sz w:val="28"/>
          <w:szCs w:val="28"/>
          <w:shd w:val="clear" w:color="auto" w:fill="FFFFFF"/>
        </w:rPr>
        <w:t xml:space="preserve">22.06.2020 </w:t>
      </w:r>
      <w:r w:rsidR="008864E6" w:rsidRPr="004301E1">
        <w:rPr>
          <w:b w:val="0"/>
          <w:sz w:val="28"/>
          <w:szCs w:val="28"/>
        </w:rPr>
        <w:t>р., Президент України, В. Зеленський)</w:t>
      </w:r>
      <w:r w:rsidR="008864E6" w:rsidRPr="004301E1">
        <w:rPr>
          <w:b w:val="0"/>
          <w:color w:val="333333"/>
          <w:sz w:val="28"/>
          <w:szCs w:val="28"/>
          <w:lang w:eastAsia="ru-RU"/>
        </w:rPr>
        <w:t xml:space="preserve"> </w:t>
      </w:r>
      <w:r w:rsidR="00116A10" w:rsidRPr="00752C44">
        <w:rPr>
          <w:i/>
          <w:sz w:val="28"/>
          <w:szCs w:val="28"/>
          <w:u w:val="single"/>
        </w:rPr>
        <w:t xml:space="preserve">за метою не суперечить цілям Угоди про асоціацію, проте потребує </w:t>
      </w:r>
      <w:r w:rsidR="00116A10">
        <w:rPr>
          <w:i/>
          <w:sz w:val="28"/>
          <w:szCs w:val="28"/>
          <w:u w:val="single"/>
        </w:rPr>
        <w:t>суттєвого доопрацювання</w:t>
      </w:r>
      <w:r w:rsidR="007B2CFA" w:rsidRPr="007B2CFA">
        <w:rPr>
          <w:i/>
          <w:sz w:val="28"/>
          <w:szCs w:val="28"/>
          <w:u w:val="single"/>
          <w:lang w:val="ru-RU"/>
        </w:rPr>
        <w:t>.</w:t>
      </w:r>
      <w:bookmarkStart w:id="0" w:name="_GoBack"/>
      <w:bookmarkEnd w:id="0"/>
    </w:p>
    <w:p w:rsidR="00571A45" w:rsidRPr="00B96B8A" w:rsidRDefault="00571A45" w:rsidP="00571A45"/>
    <w:p w:rsidR="00723651" w:rsidRPr="00B96B8A" w:rsidRDefault="00723651" w:rsidP="008D77C6"/>
    <w:p w:rsidR="00723651" w:rsidRPr="008D77C6" w:rsidRDefault="00723651" w:rsidP="008D77C6">
      <w:pPr>
        <w:rPr>
          <w:sz w:val="24"/>
        </w:rPr>
      </w:pPr>
    </w:p>
    <w:p w:rsidR="005F51AF" w:rsidRPr="00723651" w:rsidRDefault="005F51AF" w:rsidP="008D77C6">
      <w:pPr>
        <w:rPr>
          <w:sz w:val="24"/>
        </w:rPr>
      </w:pPr>
    </w:p>
    <w:sectPr w:rsidR="005F51AF" w:rsidRPr="00723651" w:rsidSect="006F53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roba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42750E"/>
    <w:rsid w:val="00077BB0"/>
    <w:rsid w:val="00092332"/>
    <w:rsid w:val="000A38C0"/>
    <w:rsid w:val="000C1FA8"/>
    <w:rsid w:val="00116A10"/>
    <w:rsid w:val="001A6960"/>
    <w:rsid w:val="00232DD4"/>
    <w:rsid w:val="00237C82"/>
    <w:rsid w:val="00243672"/>
    <w:rsid w:val="00266F37"/>
    <w:rsid w:val="002E0488"/>
    <w:rsid w:val="002E3B40"/>
    <w:rsid w:val="002E53FF"/>
    <w:rsid w:val="002F614B"/>
    <w:rsid w:val="003A0F6E"/>
    <w:rsid w:val="003A7852"/>
    <w:rsid w:val="003C03A2"/>
    <w:rsid w:val="00410607"/>
    <w:rsid w:val="0042750E"/>
    <w:rsid w:val="004301E1"/>
    <w:rsid w:val="00431C91"/>
    <w:rsid w:val="0047289D"/>
    <w:rsid w:val="00474359"/>
    <w:rsid w:val="004A4FA4"/>
    <w:rsid w:val="004F31CE"/>
    <w:rsid w:val="004F4542"/>
    <w:rsid w:val="00516E59"/>
    <w:rsid w:val="0053118C"/>
    <w:rsid w:val="00571A45"/>
    <w:rsid w:val="00580222"/>
    <w:rsid w:val="005A4434"/>
    <w:rsid w:val="005D77AB"/>
    <w:rsid w:val="005F51AF"/>
    <w:rsid w:val="00607BC9"/>
    <w:rsid w:val="006A04FD"/>
    <w:rsid w:val="006B6621"/>
    <w:rsid w:val="006F533D"/>
    <w:rsid w:val="007221D1"/>
    <w:rsid w:val="00723651"/>
    <w:rsid w:val="00742B25"/>
    <w:rsid w:val="007B2CFA"/>
    <w:rsid w:val="007C529E"/>
    <w:rsid w:val="007F33FE"/>
    <w:rsid w:val="0085417E"/>
    <w:rsid w:val="00861A52"/>
    <w:rsid w:val="008864E6"/>
    <w:rsid w:val="008D15D3"/>
    <w:rsid w:val="008D77C6"/>
    <w:rsid w:val="008F5ED5"/>
    <w:rsid w:val="0091220F"/>
    <w:rsid w:val="00913094"/>
    <w:rsid w:val="0092021A"/>
    <w:rsid w:val="00966EC4"/>
    <w:rsid w:val="009C7AE6"/>
    <w:rsid w:val="009D137D"/>
    <w:rsid w:val="00A248E6"/>
    <w:rsid w:val="00A41F99"/>
    <w:rsid w:val="00A54E42"/>
    <w:rsid w:val="00A61EDF"/>
    <w:rsid w:val="00A75CF3"/>
    <w:rsid w:val="00AD3271"/>
    <w:rsid w:val="00AE3871"/>
    <w:rsid w:val="00B03961"/>
    <w:rsid w:val="00B20AF4"/>
    <w:rsid w:val="00B51AE0"/>
    <w:rsid w:val="00B6137A"/>
    <w:rsid w:val="00B96B8A"/>
    <w:rsid w:val="00C06CCF"/>
    <w:rsid w:val="00CB04E1"/>
    <w:rsid w:val="00CC70CB"/>
    <w:rsid w:val="00D31504"/>
    <w:rsid w:val="00DE2909"/>
    <w:rsid w:val="00E44201"/>
    <w:rsid w:val="00E67DC5"/>
    <w:rsid w:val="00EB328B"/>
    <w:rsid w:val="00EC4E1E"/>
    <w:rsid w:val="00ED1B1E"/>
    <w:rsid w:val="00EE2A35"/>
    <w:rsid w:val="00F972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47CF"/>
  <w15:docId w15:val="{D86B3CB7-B160-432F-81DB-A171A229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960"/>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E67D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1A6960"/>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qFormat/>
    <w:rsid w:val="001A6960"/>
    <w:pPr>
      <w:spacing w:after="200" w:line="276" w:lineRule="auto"/>
      <w:ind w:left="720"/>
      <w:contextualSpacing/>
    </w:pPr>
    <w:rPr>
      <w:rFonts w:ascii="Calibri" w:eastAsia="Calibri" w:hAnsi="Calibri"/>
      <w:sz w:val="22"/>
      <w:szCs w:val="22"/>
      <w:lang w:val="ru-RU" w:eastAsia="en-US"/>
    </w:rPr>
  </w:style>
  <w:style w:type="paragraph" w:styleId="a3">
    <w:name w:val="List Paragraph"/>
    <w:basedOn w:val="a"/>
    <w:uiPriority w:val="99"/>
    <w:qFormat/>
    <w:rsid w:val="001A6960"/>
    <w:pPr>
      <w:ind w:left="720"/>
      <w:contextualSpacing/>
    </w:pPr>
  </w:style>
  <w:style w:type="paragraph" w:customStyle="1" w:styleId="rvps2">
    <w:name w:val="rvps2"/>
    <w:basedOn w:val="a"/>
    <w:rsid w:val="001A6960"/>
    <w:pPr>
      <w:spacing w:before="100" w:beforeAutospacing="1" w:after="100" w:afterAutospacing="1"/>
    </w:pPr>
    <w:rPr>
      <w:sz w:val="24"/>
      <w:szCs w:val="24"/>
      <w:lang w:val="en-US" w:eastAsia="en-US"/>
    </w:rPr>
  </w:style>
  <w:style w:type="character" w:customStyle="1" w:styleId="30">
    <w:name w:val="Заголовок 3 Знак"/>
    <w:basedOn w:val="a0"/>
    <w:link w:val="3"/>
    <w:uiPriority w:val="9"/>
    <w:rsid w:val="001A6960"/>
    <w:rPr>
      <w:rFonts w:ascii="Times New Roman" w:eastAsia="Times New Roman" w:hAnsi="Times New Roman" w:cs="Times New Roman"/>
      <w:b/>
      <w:bCs/>
      <w:sz w:val="27"/>
      <w:szCs w:val="27"/>
      <w:lang w:eastAsia="uk-UA"/>
    </w:rPr>
  </w:style>
  <w:style w:type="paragraph" w:styleId="HTML">
    <w:name w:val="HTML Preformatted"/>
    <w:basedOn w:val="a"/>
    <w:link w:val="HTML0"/>
    <w:uiPriority w:val="99"/>
    <w:unhideWhenUsed/>
    <w:rsid w:val="00431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431C91"/>
    <w:rPr>
      <w:rFonts w:ascii="Courier New" w:eastAsia="Times New Roman" w:hAnsi="Courier New" w:cs="Courier New"/>
      <w:sz w:val="20"/>
      <w:szCs w:val="20"/>
      <w:lang w:eastAsia="uk-UA"/>
    </w:rPr>
  </w:style>
  <w:style w:type="character" w:customStyle="1" w:styleId="rvts15">
    <w:name w:val="rvts15"/>
    <w:basedOn w:val="a0"/>
    <w:rsid w:val="00431C91"/>
  </w:style>
  <w:style w:type="character" w:customStyle="1" w:styleId="10">
    <w:name w:val="Заголовок 1 Знак"/>
    <w:basedOn w:val="a0"/>
    <w:link w:val="1"/>
    <w:uiPriority w:val="9"/>
    <w:rsid w:val="00E67DC5"/>
    <w:rPr>
      <w:rFonts w:asciiTheme="majorHAnsi" w:eastAsiaTheme="majorEastAsia" w:hAnsiTheme="majorHAnsi" w:cstheme="majorBidi"/>
      <w:color w:val="2E74B5" w:themeColor="accent1" w:themeShade="BF"/>
      <w:sz w:val="32"/>
      <w:szCs w:val="32"/>
      <w:lang w:eastAsia="ru-RU"/>
    </w:rPr>
  </w:style>
  <w:style w:type="character" w:customStyle="1" w:styleId="rvts0">
    <w:name w:val="rvts0"/>
    <w:basedOn w:val="a0"/>
    <w:rsid w:val="00580222"/>
    <w:rPr>
      <w:rFonts w:cs="Times New Roman"/>
    </w:rPr>
  </w:style>
  <w:style w:type="character" w:styleId="a4">
    <w:name w:val="Strong"/>
    <w:basedOn w:val="a0"/>
    <w:uiPriority w:val="22"/>
    <w:qFormat/>
    <w:rsid w:val="00B51AE0"/>
    <w:rPr>
      <w:b/>
      <w:bCs/>
    </w:rPr>
  </w:style>
  <w:style w:type="paragraph" w:styleId="a5">
    <w:name w:val="header"/>
    <w:basedOn w:val="a"/>
    <w:link w:val="a6"/>
    <w:uiPriority w:val="99"/>
    <w:unhideWhenUsed/>
    <w:rsid w:val="00116A10"/>
    <w:pPr>
      <w:tabs>
        <w:tab w:val="center" w:pos="4677"/>
        <w:tab w:val="right" w:pos="9355"/>
      </w:tabs>
    </w:pPr>
    <w:rPr>
      <w:lang w:val="en-US"/>
    </w:rPr>
  </w:style>
  <w:style w:type="character" w:customStyle="1" w:styleId="a6">
    <w:name w:val="Верхній колонтитул Знак"/>
    <w:basedOn w:val="a0"/>
    <w:link w:val="a5"/>
    <w:uiPriority w:val="99"/>
    <w:rsid w:val="00116A10"/>
    <w:rPr>
      <w:rFonts w:ascii="Times New Roman" w:eastAsia="Times New Roman" w:hAnsi="Times New Roman" w:cs="Times New Roman"/>
      <w:sz w:val="28"/>
      <w:szCs w:val="28"/>
      <w:lang w:val="en-US" w:eastAsia="ru-RU"/>
    </w:rPr>
  </w:style>
  <w:style w:type="paragraph" w:styleId="a7">
    <w:name w:val="footer"/>
    <w:basedOn w:val="a"/>
    <w:link w:val="a8"/>
    <w:unhideWhenUsed/>
    <w:rsid w:val="00116A10"/>
    <w:pPr>
      <w:tabs>
        <w:tab w:val="center" w:pos="4819"/>
        <w:tab w:val="right" w:pos="9639"/>
      </w:tabs>
    </w:pPr>
    <w:rPr>
      <w:lang w:val="en-US"/>
    </w:rPr>
  </w:style>
  <w:style w:type="character" w:customStyle="1" w:styleId="a8">
    <w:name w:val="Нижній колонтитул Знак"/>
    <w:basedOn w:val="a0"/>
    <w:link w:val="a7"/>
    <w:rsid w:val="00116A10"/>
    <w:rPr>
      <w:rFonts w:ascii="Times New Roman" w:eastAsia="Times New Roman" w:hAnsi="Times New Roman" w:cs="Times New Roman"/>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196959">
      <w:bodyDiv w:val="1"/>
      <w:marLeft w:val="0"/>
      <w:marRight w:val="0"/>
      <w:marTop w:val="0"/>
      <w:marBottom w:val="0"/>
      <w:divBdr>
        <w:top w:val="none" w:sz="0" w:space="0" w:color="auto"/>
        <w:left w:val="none" w:sz="0" w:space="0" w:color="auto"/>
        <w:bottom w:val="none" w:sz="0" w:space="0" w:color="auto"/>
        <w:right w:val="none" w:sz="0" w:space="0" w:color="auto"/>
      </w:divBdr>
    </w:div>
    <w:div w:id="772407454">
      <w:bodyDiv w:val="1"/>
      <w:marLeft w:val="0"/>
      <w:marRight w:val="0"/>
      <w:marTop w:val="0"/>
      <w:marBottom w:val="0"/>
      <w:divBdr>
        <w:top w:val="none" w:sz="0" w:space="0" w:color="auto"/>
        <w:left w:val="none" w:sz="0" w:space="0" w:color="auto"/>
        <w:bottom w:val="none" w:sz="0" w:space="0" w:color="auto"/>
        <w:right w:val="none" w:sz="0" w:space="0" w:color="auto"/>
      </w:divBdr>
    </w:div>
    <w:div w:id="911892210">
      <w:bodyDiv w:val="1"/>
      <w:marLeft w:val="0"/>
      <w:marRight w:val="0"/>
      <w:marTop w:val="0"/>
      <w:marBottom w:val="0"/>
      <w:divBdr>
        <w:top w:val="none" w:sz="0" w:space="0" w:color="auto"/>
        <w:left w:val="none" w:sz="0" w:space="0" w:color="auto"/>
        <w:bottom w:val="none" w:sz="0" w:space="0" w:color="auto"/>
        <w:right w:val="none" w:sz="0" w:space="0" w:color="auto"/>
      </w:divBdr>
    </w:div>
    <w:div w:id="918487536">
      <w:bodyDiv w:val="1"/>
      <w:marLeft w:val="0"/>
      <w:marRight w:val="0"/>
      <w:marTop w:val="0"/>
      <w:marBottom w:val="0"/>
      <w:divBdr>
        <w:top w:val="none" w:sz="0" w:space="0" w:color="auto"/>
        <w:left w:val="none" w:sz="0" w:space="0" w:color="auto"/>
        <w:bottom w:val="none" w:sz="0" w:space="0" w:color="auto"/>
        <w:right w:val="none" w:sz="0" w:space="0" w:color="auto"/>
      </w:divBdr>
    </w:div>
    <w:div w:id="1172335410">
      <w:bodyDiv w:val="1"/>
      <w:marLeft w:val="0"/>
      <w:marRight w:val="0"/>
      <w:marTop w:val="0"/>
      <w:marBottom w:val="0"/>
      <w:divBdr>
        <w:top w:val="none" w:sz="0" w:space="0" w:color="auto"/>
        <w:left w:val="none" w:sz="0" w:space="0" w:color="auto"/>
        <w:bottom w:val="none" w:sz="0" w:space="0" w:color="auto"/>
        <w:right w:val="none" w:sz="0" w:space="0" w:color="auto"/>
      </w:divBdr>
    </w:div>
    <w:div w:id="1216313697">
      <w:bodyDiv w:val="1"/>
      <w:marLeft w:val="0"/>
      <w:marRight w:val="0"/>
      <w:marTop w:val="0"/>
      <w:marBottom w:val="0"/>
      <w:divBdr>
        <w:top w:val="none" w:sz="0" w:space="0" w:color="auto"/>
        <w:left w:val="none" w:sz="0" w:space="0" w:color="auto"/>
        <w:bottom w:val="none" w:sz="0" w:space="0" w:color="auto"/>
        <w:right w:val="none" w:sz="0" w:space="0" w:color="auto"/>
      </w:divBdr>
    </w:div>
    <w:div w:id="1338649923">
      <w:bodyDiv w:val="1"/>
      <w:marLeft w:val="0"/>
      <w:marRight w:val="0"/>
      <w:marTop w:val="0"/>
      <w:marBottom w:val="0"/>
      <w:divBdr>
        <w:top w:val="none" w:sz="0" w:space="0" w:color="auto"/>
        <w:left w:val="none" w:sz="0" w:space="0" w:color="auto"/>
        <w:bottom w:val="none" w:sz="0" w:space="0" w:color="auto"/>
        <w:right w:val="none" w:sz="0" w:space="0" w:color="auto"/>
      </w:divBdr>
    </w:div>
    <w:div w:id="1403869957">
      <w:bodyDiv w:val="1"/>
      <w:marLeft w:val="0"/>
      <w:marRight w:val="0"/>
      <w:marTop w:val="0"/>
      <w:marBottom w:val="0"/>
      <w:divBdr>
        <w:top w:val="none" w:sz="0" w:space="0" w:color="auto"/>
        <w:left w:val="none" w:sz="0" w:space="0" w:color="auto"/>
        <w:bottom w:val="none" w:sz="0" w:space="0" w:color="auto"/>
        <w:right w:val="none" w:sz="0" w:space="0" w:color="auto"/>
      </w:divBdr>
    </w:div>
    <w:div w:id="1643538646">
      <w:bodyDiv w:val="1"/>
      <w:marLeft w:val="0"/>
      <w:marRight w:val="0"/>
      <w:marTop w:val="0"/>
      <w:marBottom w:val="0"/>
      <w:divBdr>
        <w:top w:val="none" w:sz="0" w:space="0" w:color="auto"/>
        <w:left w:val="none" w:sz="0" w:space="0" w:color="auto"/>
        <w:bottom w:val="none" w:sz="0" w:space="0" w:color="auto"/>
        <w:right w:val="none" w:sz="0" w:space="0" w:color="auto"/>
      </w:divBdr>
    </w:div>
    <w:div w:id="1668703127">
      <w:bodyDiv w:val="1"/>
      <w:marLeft w:val="0"/>
      <w:marRight w:val="0"/>
      <w:marTop w:val="0"/>
      <w:marBottom w:val="0"/>
      <w:divBdr>
        <w:top w:val="none" w:sz="0" w:space="0" w:color="auto"/>
        <w:left w:val="none" w:sz="0" w:space="0" w:color="auto"/>
        <w:bottom w:val="none" w:sz="0" w:space="0" w:color="auto"/>
        <w:right w:val="none" w:sz="0" w:space="0" w:color="auto"/>
      </w:divBdr>
      <w:divsChild>
        <w:div w:id="1652252167">
          <w:marLeft w:val="0"/>
          <w:marRight w:val="0"/>
          <w:marTop w:val="0"/>
          <w:marBottom w:val="0"/>
          <w:divBdr>
            <w:top w:val="none" w:sz="0" w:space="0" w:color="auto"/>
            <w:left w:val="none" w:sz="0" w:space="0" w:color="auto"/>
            <w:bottom w:val="none" w:sz="0" w:space="0" w:color="auto"/>
            <w:right w:val="none" w:sz="0" w:space="0" w:color="auto"/>
          </w:divBdr>
        </w:div>
        <w:div w:id="1749108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4</Pages>
  <Words>5465</Words>
  <Characters>3116</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41</cp:revision>
  <dcterms:created xsi:type="dcterms:W3CDTF">2020-04-30T08:09:00Z</dcterms:created>
  <dcterms:modified xsi:type="dcterms:W3CDTF">2020-11-05T07:04:00Z</dcterms:modified>
</cp:coreProperties>
</file>