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798A" w:rsidRDefault="00E46C0C">
      <w:pPr>
        <w:pStyle w:val="a6"/>
        <w:ind w:firstLine="0"/>
        <w:jc w:val="center"/>
        <w:rPr>
          <w:b/>
          <w:bCs/>
        </w:rPr>
      </w:pPr>
      <w:bookmarkStart w:id="0" w:name="_GoBack"/>
      <w:bookmarkEnd w:id="0"/>
      <w:r>
        <w:rPr>
          <w:b/>
          <w:bCs/>
        </w:rPr>
        <w:t>ПОЯСНЮВАЛЬНА ЗАПИСКА</w:t>
      </w:r>
    </w:p>
    <w:p w:rsidR="00AE798A" w:rsidRDefault="00E46C0C">
      <w:pPr>
        <w:pStyle w:val="a6"/>
        <w:ind w:firstLine="0"/>
        <w:jc w:val="center"/>
        <w:rPr>
          <w:b/>
          <w:bCs/>
        </w:rPr>
      </w:pPr>
      <w:r>
        <w:rPr>
          <w:b/>
          <w:bCs/>
        </w:rPr>
        <w:t xml:space="preserve">до </w:t>
      </w:r>
      <w:proofErr w:type="spellStart"/>
      <w:r>
        <w:rPr>
          <w:b/>
          <w:bCs/>
        </w:rPr>
        <w:t>проєкту</w:t>
      </w:r>
      <w:proofErr w:type="spellEnd"/>
      <w:r>
        <w:rPr>
          <w:b/>
          <w:bCs/>
        </w:rPr>
        <w:t xml:space="preserve"> Закону України «Про внесення змін до деяких законів України щодо удосконалення механізму протидії рейдерству»</w:t>
      </w:r>
    </w:p>
    <w:p w:rsidR="00AE798A" w:rsidRDefault="00AE798A">
      <w:pPr>
        <w:pStyle w:val="a6"/>
        <w:ind w:firstLine="0"/>
        <w:jc w:val="center"/>
        <w:rPr>
          <w:b/>
          <w:bCs/>
          <w:sz w:val="20"/>
          <w:szCs w:val="20"/>
        </w:rPr>
      </w:pPr>
    </w:p>
    <w:p w:rsidR="00AE798A" w:rsidRDefault="00E46C0C">
      <w:pPr>
        <w:pStyle w:val="a6"/>
        <w:ind w:firstLine="567"/>
        <w:rPr>
          <w:b/>
          <w:bCs/>
        </w:rPr>
      </w:pPr>
      <w:r>
        <w:rPr>
          <w:b/>
          <w:bCs/>
        </w:rPr>
        <w:t xml:space="preserve">1. Обґрунтування необхідності прийняття </w:t>
      </w:r>
      <w:proofErr w:type="spellStart"/>
      <w:r>
        <w:rPr>
          <w:b/>
          <w:bCs/>
        </w:rPr>
        <w:t>проєкту</w:t>
      </w:r>
      <w:proofErr w:type="spellEnd"/>
      <w:r>
        <w:rPr>
          <w:b/>
          <w:bCs/>
        </w:rPr>
        <w:t xml:space="preserve"> закону</w:t>
      </w:r>
    </w:p>
    <w:p w:rsidR="00AE798A" w:rsidRDefault="00E46C0C">
      <w:pPr>
        <w:pStyle w:val="a6"/>
        <w:ind w:firstLine="567"/>
        <w:jc w:val="both"/>
      </w:pPr>
      <w:r>
        <w:t xml:space="preserve">Закони України від 3 жовтня 2019 року № </w:t>
      </w:r>
      <w:r>
        <w:rPr>
          <w:lang w:val="da-DK"/>
        </w:rPr>
        <w:t>159-IX "</w:t>
      </w:r>
      <w:r>
        <w:t>Про внесення змін до деяких законодавчих актів України щодо захисту права власності</w:t>
      </w:r>
      <w:r w:rsidRPr="002B7935">
        <w:t xml:space="preserve">" </w:t>
      </w:r>
      <w:r>
        <w:t xml:space="preserve">та від 5 грудня 2019 року № </w:t>
      </w:r>
      <w:r>
        <w:rPr>
          <w:lang w:val="da-DK"/>
        </w:rPr>
        <w:t>340-IX "</w:t>
      </w:r>
      <w:r>
        <w:t>Про внесення змін до деяких законодавчих актів України щодо протидії рейдерству</w:t>
      </w:r>
      <w:r w:rsidRPr="002B7935">
        <w:t xml:space="preserve">" </w:t>
      </w:r>
      <w:r>
        <w:t>забезпечили усунення основних та очевидних недоліків законодавства, які зумовлювали високу актуальність проблеми рейдерства в Україні. Водночас механізм протидії рейдерства потребує подальшого удосконалення.</w:t>
      </w:r>
    </w:p>
    <w:p w:rsidR="00AE798A" w:rsidRDefault="00E46C0C">
      <w:pPr>
        <w:pStyle w:val="a6"/>
        <w:ind w:firstLine="567"/>
        <w:jc w:val="both"/>
      </w:pPr>
      <w:r>
        <w:t xml:space="preserve">Прийняття проекту Закону України </w:t>
      </w:r>
      <w:r w:rsidRPr="002B7935">
        <w:t>"</w:t>
      </w:r>
      <w:r>
        <w:t>Про внесення змін до деяких законів України щодо удосконалення механізму протидії рейдерству</w:t>
      </w:r>
      <w:r w:rsidRPr="002B7935">
        <w:t xml:space="preserve">" </w:t>
      </w:r>
      <w:r>
        <w:t>є необхідним для ліквідації низки прогалин та недоліків, які перешкоджають належному захисту права власності та корпоративних прав.</w:t>
      </w:r>
    </w:p>
    <w:p w:rsidR="00AE798A" w:rsidRDefault="00E46C0C">
      <w:pPr>
        <w:pStyle w:val="a6"/>
        <w:shd w:val="clear" w:color="auto" w:fill="FFFFFF"/>
        <w:ind w:firstLine="567"/>
        <w:jc w:val="both"/>
      </w:pPr>
      <w:r>
        <w:t xml:space="preserve">По-перше, існуючий механізм розгляду скарги на рішення, дії або бездіяльність державного реєстратора не передбачає адекватних інструментів реагування на випадок, якщо після незаконної реєстраційної дії та подання потерпілою особою скарги до Міністерства юстиції України щодо відповідного об'єкта проводяться нові реєстраційні дії. Особливо проблемними є випадки, коли нові реєстраційні дії самі по собі, з формальної точки зору, є законними – у такому разі Міністерству юстиції України доводиться або відмовляти в задоволенні скарги або залишати рішення про задоволення скарги без виконання, а скаржник змушений звертатися до суду для захисту своїх прав. </w:t>
      </w:r>
    </w:p>
    <w:p w:rsidR="00AE798A" w:rsidRDefault="00E46C0C">
      <w:pPr>
        <w:pStyle w:val="a6"/>
        <w:shd w:val="clear" w:color="auto" w:fill="FFFFFF"/>
        <w:ind w:firstLine="567"/>
        <w:jc w:val="both"/>
        <w:rPr>
          <w:shd w:val="clear" w:color="auto" w:fill="FFFFFF"/>
        </w:rPr>
      </w:pPr>
      <w:r>
        <w:t xml:space="preserve">По-друге, за чинним законодавством встановлено низку надмірних формальних вимог до змісту скарги, яка подається до Міністерства юстиції України, наприклад, щодо обов'язкового зазначення у ній норм законодавства, які порушено, </w:t>
      </w:r>
      <w:r>
        <w:rPr>
          <w:shd w:val="clear" w:color="auto" w:fill="FFFFFF"/>
        </w:rPr>
        <w:t xml:space="preserve">відомостей про наявність чи відсутність судового спору з порушеного у скарзі питання, а також вимог щодо засвідчення копій документів, які додаються до скарги. </w:t>
      </w:r>
    </w:p>
    <w:p w:rsidR="00AE798A" w:rsidRDefault="00E46C0C">
      <w:pPr>
        <w:pStyle w:val="a6"/>
        <w:shd w:val="clear" w:color="auto" w:fill="FFFFFF"/>
        <w:ind w:firstLine="567"/>
        <w:jc w:val="both"/>
        <w:rPr>
          <w:shd w:val="clear" w:color="auto" w:fill="FFFFFF"/>
        </w:rPr>
      </w:pPr>
      <w:r>
        <w:rPr>
          <w:shd w:val="clear" w:color="auto" w:fill="FFFFFF"/>
        </w:rPr>
        <w:t xml:space="preserve">Згідно із статистичними даними Міністерства юстиції України результати розгляду скарг у сфері державної реєстрації протягом першого кварталу 2019 р. та протягом </w:t>
      </w:r>
      <w:r>
        <w:rPr>
          <w:shd w:val="clear" w:color="auto" w:fill="FFFFFF"/>
          <w:lang w:val="ru-RU"/>
        </w:rPr>
        <w:t xml:space="preserve">1 кварталу </w:t>
      </w:r>
      <w:r>
        <w:rPr>
          <w:shd w:val="clear" w:color="auto" w:fill="FFFFFF"/>
        </w:rPr>
        <w:t>2020 р. свідчать про те, що раніше дуже значний відсоток скарг не приймався до розгляду по суті з формальних міркувань:</w:t>
      </w:r>
    </w:p>
    <w:tbl>
      <w:tblPr>
        <w:tblStyle w:val="TableNormal"/>
        <w:tblW w:w="1018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1852"/>
        <w:gridCol w:w="1383"/>
        <w:gridCol w:w="1417"/>
        <w:gridCol w:w="1417"/>
        <w:gridCol w:w="1275"/>
        <w:gridCol w:w="1417"/>
        <w:gridCol w:w="1421"/>
      </w:tblGrid>
      <w:tr w:rsidR="00AE798A">
        <w:trPr>
          <w:trHeight w:val="900"/>
        </w:trPr>
        <w:tc>
          <w:tcPr>
            <w:tcW w:w="10182" w:type="dxa"/>
            <w:gridSpan w:val="7"/>
            <w:tcBorders>
              <w:top w:val="single" w:sz="4" w:space="0" w:color="000000"/>
              <w:left w:val="single" w:sz="4" w:space="0" w:color="000000"/>
              <w:bottom w:val="single" w:sz="4" w:space="0" w:color="000000"/>
              <w:right w:val="single" w:sz="4" w:space="0" w:color="000000"/>
            </w:tcBorders>
            <w:shd w:val="clear" w:color="auto" w:fill="ACB9CA"/>
            <w:tcMar>
              <w:top w:w="80" w:type="dxa"/>
              <w:left w:w="80" w:type="dxa"/>
              <w:bottom w:w="80" w:type="dxa"/>
              <w:right w:w="80" w:type="dxa"/>
            </w:tcMar>
            <w:vAlign w:val="bottom"/>
          </w:tcPr>
          <w:p w:rsidR="00AE798A" w:rsidRDefault="00E46C0C">
            <w:pPr>
              <w:pStyle w:val="a6"/>
              <w:jc w:val="center"/>
              <w:rPr>
                <w:b/>
                <w:bCs/>
                <w:sz w:val="24"/>
                <w:szCs w:val="24"/>
              </w:rPr>
            </w:pPr>
            <w:r>
              <w:rPr>
                <w:b/>
                <w:bCs/>
                <w:sz w:val="24"/>
                <w:szCs w:val="24"/>
              </w:rPr>
              <w:t>Результати розгляду Міністерством юстиції України скарг у сфері державної реєстрації</w:t>
            </w:r>
          </w:p>
          <w:p w:rsidR="00AE798A" w:rsidRDefault="00E46C0C">
            <w:pPr>
              <w:pStyle w:val="a6"/>
              <w:jc w:val="center"/>
            </w:pPr>
            <w:r>
              <w:rPr>
                <w:b/>
                <w:bCs/>
                <w:sz w:val="24"/>
                <w:szCs w:val="24"/>
              </w:rPr>
              <w:t>(статистика задоволень та відмов)</w:t>
            </w:r>
          </w:p>
        </w:tc>
      </w:tr>
      <w:tr w:rsidR="00AE798A">
        <w:trPr>
          <w:trHeight w:val="795"/>
        </w:trPr>
        <w:tc>
          <w:tcPr>
            <w:tcW w:w="18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AE798A" w:rsidRDefault="00E46C0C">
            <w:pPr>
              <w:pStyle w:val="a6"/>
            </w:pPr>
            <w:r>
              <w:rPr>
                <w:sz w:val="24"/>
                <w:szCs w:val="24"/>
              </w:rPr>
              <w:t> </w:t>
            </w:r>
          </w:p>
        </w:tc>
        <w:tc>
          <w:tcPr>
            <w:tcW w:w="1383" w:type="dxa"/>
            <w:tcBorders>
              <w:top w:val="single" w:sz="4" w:space="0" w:color="000000"/>
              <w:left w:val="single" w:sz="4" w:space="0" w:color="000000"/>
              <w:bottom w:val="single" w:sz="4" w:space="0" w:color="000000"/>
              <w:right w:val="single" w:sz="4" w:space="0" w:color="000000"/>
            </w:tcBorders>
            <w:shd w:val="clear" w:color="auto" w:fill="FBE4D5"/>
            <w:tcMar>
              <w:top w:w="80" w:type="dxa"/>
              <w:left w:w="80" w:type="dxa"/>
              <w:bottom w:w="80" w:type="dxa"/>
              <w:right w:w="80" w:type="dxa"/>
            </w:tcMar>
            <w:vAlign w:val="center"/>
          </w:tcPr>
          <w:p w:rsidR="00AE798A" w:rsidRDefault="00E46C0C">
            <w:pPr>
              <w:pStyle w:val="a6"/>
              <w:ind w:firstLine="26"/>
              <w:jc w:val="center"/>
            </w:pPr>
            <w:r>
              <w:rPr>
                <w:b/>
                <w:bCs/>
                <w:sz w:val="24"/>
                <w:szCs w:val="24"/>
              </w:rPr>
              <w:t>2019</w:t>
            </w:r>
            <w:r>
              <w:rPr>
                <w:b/>
                <w:bCs/>
                <w:sz w:val="24"/>
                <w:szCs w:val="24"/>
              </w:rPr>
              <w:br/>
              <w:t>Січень</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cMar>
              <w:top w:w="80" w:type="dxa"/>
              <w:left w:w="80" w:type="dxa"/>
              <w:bottom w:w="80" w:type="dxa"/>
              <w:right w:w="80" w:type="dxa"/>
            </w:tcMar>
            <w:vAlign w:val="center"/>
          </w:tcPr>
          <w:p w:rsidR="00AE798A" w:rsidRDefault="00E46C0C">
            <w:pPr>
              <w:pStyle w:val="a6"/>
              <w:ind w:firstLine="26"/>
              <w:jc w:val="center"/>
            </w:pPr>
            <w:r>
              <w:rPr>
                <w:b/>
                <w:bCs/>
                <w:sz w:val="24"/>
                <w:szCs w:val="24"/>
              </w:rPr>
              <w:t>2020</w:t>
            </w:r>
            <w:r>
              <w:rPr>
                <w:b/>
                <w:bCs/>
                <w:sz w:val="24"/>
                <w:szCs w:val="24"/>
              </w:rPr>
              <w:br/>
              <w:t>Січень</w:t>
            </w:r>
          </w:p>
        </w:tc>
        <w:tc>
          <w:tcPr>
            <w:tcW w:w="1417" w:type="dxa"/>
            <w:tcBorders>
              <w:top w:val="single" w:sz="4" w:space="0" w:color="000000"/>
              <w:left w:val="single" w:sz="4" w:space="0" w:color="000000"/>
              <w:bottom w:val="single" w:sz="4" w:space="0" w:color="000000"/>
              <w:right w:val="single" w:sz="4" w:space="0" w:color="000000"/>
            </w:tcBorders>
            <w:shd w:val="clear" w:color="auto" w:fill="EDEDED"/>
            <w:tcMar>
              <w:top w:w="80" w:type="dxa"/>
              <w:left w:w="80" w:type="dxa"/>
              <w:bottom w:w="80" w:type="dxa"/>
              <w:right w:w="80" w:type="dxa"/>
            </w:tcMar>
            <w:vAlign w:val="center"/>
          </w:tcPr>
          <w:p w:rsidR="00AE798A" w:rsidRDefault="00E46C0C">
            <w:pPr>
              <w:pStyle w:val="a6"/>
              <w:ind w:firstLine="26"/>
              <w:jc w:val="center"/>
            </w:pPr>
            <w:r>
              <w:rPr>
                <w:b/>
                <w:bCs/>
                <w:sz w:val="24"/>
                <w:szCs w:val="24"/>
              </w:rPr>
              <w:t>2019</w:t>
            </w:r>
            <w:r>
              <w:rPr>
                <w:b/>
                <w:bCs/>
                <w:sz w:val="24"/>
                <w:szCs w:val="24"/>
                <w:lang w:val="ru-RU"/>
              </w:rPr>
              <w:br/>
            </w:r>
            <w:proofErr w:type="spellStart"/>
            <w:r>
              <w:rPr>
                <w:b/>
                <w:bCs/>
                <w:sz w:val="24"/>
                <w:szCs w:val="24"/>
                <w:lang w:val="ru-RU"/>
              </w:rPr>
              <w:t>Лютий</w:t>
            </w:r>
            <w:proofErr w:type="spellEnd"/>
          </w:p>
        </w:tc>
        <w:tc>
          <w:tcPr>
            <w:tcW w:w="1275" w:type="dxa"/>
            <w:tcBorders>
              <w:top w:val="single" w:sz="4" w:space="0" w:color="000000"/>
              <w:left w:val="single" w:sz="4" w:space="0" w:color="000000"/>
              <w:bottom w:val="single" w:sz="4" w:space="0" w:color="000000"/>
              <w:right w:val="single" w:sz="4" w:space="0" w:color="000000"/>
            </w:tcBorders>
            <w:shd w:val="clear" w:color="auto" w:fill="EDEDED"/>
            <w:tcMar>
              <w:top w:w="80" w:type="dxa"/>
              <w:left w:w="80" w:type="dxa"/>
              <w:bottom w:w="80" w:type="dxa"/>
              <w:right w:w="80" w:type="dxa"/>
            </w:tcMar>
            <w:vAlign w:val="center"/>
          </w:tcPr>
          <w:p w:rsidR="00AE798A" w:rsidRDefault="00E46C0C">
            <w:pPr>
              <w:pStyle w:val="a6"/>
              <w:ind w:firstLine="26"/>
              <w:jc w:val="center"/>
            </w:pPr>
            <w:r>
              <w:rPr>
                <w:b/>
                <w:bCs/>
                <w:sz w:val="24"/>
                <w:szCs w:val="24"/>
              </w:rPr>
              <w:t>2020</w:t>
            </w:r>
            <w:r>
              <w:rPr>
                <w:b/>
                <w:bCs/>
                <w:sz w:val="24"/>
                <w:szCs w:val="24"/>
                <w:lang w:val="ru-RU"/>
              </w:rPr>
              <w:br/>
            </w:r>
            <w:proofErr w:type="spellStart"/>
            <w:r>
              <w:rPr>
                <w:b/>
                <w:bCs/>
                <w:sz w:val="24"/>
                <w:szCs w:val="24"/>
                <w:lang w:val="ru-RU"/>
              </w:rPr>
              <w:t>Лютий</w:t>
            </w:r>
            <w:proofErr w:type="spellEnd"/>
          </w:p>
        </w:tc>
        <w:tc>
          <w:tcPr>
            <w:tcW w:w="1417" w:type="dxa"/>
            <w:tcBorders>
              <w:top w:val="single" w:sz="4" w:space="0" w:color="000000"/>
              <w:left w:val="single" w:sz="4" w:space="0" w:color="000000"/>
              <w:bottom w:val="single" w:sz="4" w:space="0" w:color="000000"/>
              <w:right w:val="single" w:sz="4" w:space="0" w:color="000000"/>
            </w:tcBorders>
            <w:shd w:val="clear" w:color="auto" w:fill="E2EFD9"/>
            <w:tcMar>
              <w:top w:w="80" w:type="dxa"/>
              <w:left w:w="80" w:type="dxa"/>
              <w:bottom w:w="80" w:type="dxa"/>
              <w:right w:w="80" w:type="dxa"/>
            </w:tcMar>
            <w:vAlign w:val="center"/>
          </w:tcPr>
          <w:p w:rsidR="00AE798A" w:rsidRDefault="00E46C0C">
            <w:pPr>
              <w:pStyle w:val="a6"/>
              <w:ind w:firstLine="26"/>
              <w:jc w:val="center"/>
            </w:pPr>
            <w:r>
              <w:rPr>
                <w:b/>
                <w:bCs/>
                <w:sz w:val="24"/>
                <w:szCs w:val="24"/>
              </w:rPr>
              <w:t>2019</w:t>
            </w:r>
            <w:r>
              <w:rPr>
                <w:b/>
                <w:bCs/>
                <w:sz w:val="24"/>
                <w:szCs w:val="24"/>
                <w:lang w:val="ru-RU"/>
              </w:rPr>
              <w:br/>
            </w:r>
            <w:proofErr w:type="spellStart"/>
            <w:r>
              <w:rPr>
                <w:b/>
                <w:bCs/>
                <w:sz w:val="24"/>
                <w:szCs w:val="24"/>
                <w:lang w:val="ru-RU"/>
              </w:rPr>
              <w:t>Березень</w:t>
            </w:r>
            <w:proofErr w:type="spellEnd"/>
          </w:p>
        </w:tc>
        <w:tc>
          <w:tcPr>
            <w:tcW w:w="1418" w:type="dxa"/>
            <w:tcBorders>
              <w:top w:val="single" w:sz="4" w:space="0" w:color="000000"/>
              <w:left w:val="single" w:sz="4" w:space="0" w:color="000000"/>
              <w:bottom w:val="single" w:sz="4" w:space="0" w:color="000000"/>
              <w:right w:val="single" w:sz="4" w:space="0" w:color="000000"/>
            </w:tcBorders>
            <w:shd w:val="clear" w:color="auto" w:fill="E2EFD9"/>
            <w:tcMar>
              <w:top w:w="80" w:type="dxa"/>
              <w:left w:w="80" w:type="dxa"/>
              <w:bottom w:w="80" w:type="dxa"/>
              <w:right w:w="80" w:type="dxa"/>
            </w:tcMar>
            <w:vAlign w:val="center"/>
          </w:tcPr>
          <w:p w:rsidR="00AE798A" w:rsidRDefault="00E46C0C">
            <w:pPr>
              <w:pStyle w:val="a6"/>
              <w:ind w:firstLine="26"/>
              <w:jc w:val="center"/>
            </w:pPr>
            <w:r>
              <w:rPr>
                <w:b/>
                <w:bCs/>
                <w:sz w:val="24"/>
                <w:szCs w:val="24"/>
              </w:rPr>
              <w:t>2020</w:t>
            </w:r>
            <w:r>
              <w:rPr>
                <w:b/>
                <w:bCs/>
                <w:sz w:val="24"/>
                <w:szCs w:val="24"/>
                <w:lang w:val="ru-RU"/>
              </w:rPr>
              <w:br/>
            </w:r>
            <w:proofErr w:type="spellStart"/>
            <w:r>
              <w:rPr>
                <w:b/>
                <w:bCs/>
                <w:sz w:val="24"/>
                <w:szCs w:val="24"/>
                <w:lang w:val="ru-RU"/>
              </w:rPr>
              <w:t>Березень</w:t>
            </w:r>
            <w:proofErr w:type="spellEnd"/>
          </w:p>
        </w:tc>
      </w:tr>
      <w:tr w:rsidR="00AE798A">
        <w:trPr>
          <w:trHeight w:val="600"/>
        </w:trPr>
        <w:tc>
          <w:tcPr>
            <w:tcW w:w="1852" w:type="dxa"/>
            <w:tcBorders>
              <w:top w:val="single" w:sz="4" w:space="0" w:color="000000"/>
              <w:left w:val="single" w:sz="4" w:space="0" w:color="000000"/>
              <w:bottom w:val="single" w:sz="4" w:space="0" w:color="000000"/>
              <w:right w:val="single" w:sz="4" w:space="0" w:color="000000"/>
            </w:tcBorders>
            <w:shd w:val="clear" w:color="auto" w:fill="DBE5F1"/>
            <w:tcMar>
              <w:top w:w="80" w:type="dxa"/>
              <w:left w:w="80" w:type="dxa"/>
              <w:bottom w:w="80" w:type="dxa"/>
              <w:right w:w="80" w:type="dxa"/>
            </w:tcMar>
            <w:vAlign w:val="bottom"/>
          </w:tcPr>
          <w:p w:rsidR="00AE798A" w:rsidRDefault="00E46C0C">
            <w:pPr>
              <w:pStyle w:val="a6"/>
              <w:ind w:firstLine="22"/>
              <w:jc w:val="center"/>
            </w:pPr>
            <w:r>
              <w:rPr>
                <w:b/>
                <w:bCs/>
                <w:sz w:val="24"/>
                <w:szCs w:val="24"/>
              </w:rPr>
              <w:t>ЗАДОВОЛЕНО</w:t>
            </w:r>
          </w:p>
        </w:tc>
        <w:tc>
          <w:tcPr>
            <w:tcW w:w="1383" w:type="dxa"/>
            <w:tcBorders>
              <w:top w:val="single" w:sz="4" w:space="0" w:color="000000"/>
              <w:left w:val="single" w:sz="4" w:space="0" w:color="000000"/>
              <w:bottom w:val="single" w:sz="4" w:space="0" w:color="000000"/>
              <w:right w:val="single" w:sz="4" w:space="0" w:color="000000"/>
            </w:tcBorders>
            <w:shd w:val="clear" w:color="auto" w:fill="FBE4D5"/>
            <w:tcMar>
              <w:top w:w="80" w:type="dxa"/>
              <w:left w:w="80" w:type="dxa"/>
              <w:bottom w:w="80" w:type="dxa"/>
              <w:right w:w="80" w:type="dxa"/>
            </w:tcMar>
            <w:vAlign w:val="center"/>
          </w:tcPr>
          <w:p w:rsidR="00AE798A" w:rsidRDefault="00E46C0C">
            <w:pPr>
              <w:pStyle w:val="a6"/>
              <w:ind w:firstLine="26"/>
              <w:jc w:val="center"/>
            </w:pPr>
            <w:r>
              <w:rPr>
                <w:sz w:val="24"/>
                <w:szCs w:val="24"/>
              </w:rPr>
              <w:t>42</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cMar>
              <w:top w:w="80" w:type="dxa"/>
              <w:left w:w="80" w:type="dxa"/>
              <w:bottom w:w="80" w:type="dxa"/>
              <w:right w:w="80" w:type="dxa"/>
            </w:tcMar>
            <w:vAlign w:val="center"/>
          </w:tcPr>
          <w:p w:rsidR="00AE798A" w:rsidRDefault="00E46C0C">
            <w:pPr>
              <w:pStyle w:val="a6"/>
              <w:ind w:firstLine="26"/>
              <w:jc w:val="center"/>
            </w:pPr>
            <w:r>
              <w:rPr>
                <w:sz w:val="24"/>
                <w:szCs w:val="24"/>
              </w:rPr>
              <w:t>61</w:t>
            </w:r>
          </w:p>
        </w:tc>
        <w:tc>
          <w:tcPr>
            <w:tcW w:w="1417" w:type="dxa"/>
            <w:tcBorders>
              <w:top w:val="single" w:sz="4" w:space="0" w:color="000000"/>
              <w:left w:val="single" w:sz="4" w:space="0" w:color="000000"/>
              <w:bottom w:val="single" w:sz="4" w:space="0" w:color="000000"/>
              <w:right w:val="single" w:sz="4" w:space="0" w:color="000000"/>
            </w:tcBorders>
            <w:shd w:val="clear" w:color="auto" w:fill="EDEDED"/>
            <w:tcMar>
              <w:top w:w="80" w:type="dxa"/>
              <w:left w:w="80" w:type="dxa"/>
              <w:bottom w:w="80" w:type="dxa"/>
              <w:right w:w="80" w:type="dxa"/>
            </w:tcMar>
            <w:vAlign w:val="center"/>
          </w:tcPr>
          <w:p w:rsidR="00AE798A" w:rsidRDefault="00E46C0C">
            <w:pPr>
              <w:pStyle w:val="a6"/>
              <w:ind w:firstLine="26"/>
              <w:jc w:val="center"/>
            </w:pPr>
            <w:r>
              <w:rPr>
                <w:sz w:val="24"/>
                <w:szCs w:val="24"/>
              </w:rPr>
              <w:t>21</w:t>
            </w:r>
          </w:p>
        </w:tc>
        <w:tc>
          <w:tcPr>
            <w:tcW w:w="1275" w:type="dxa"/>
            <w:tcBorders>
              <w:top w:val="single" w:sz="4" w:space="0" w:color="000000"/>
              <w:left w:val="single" w:sz="4" w:space="0" w:color="000000"/>
              <w:bottom w:val="single" w:sz="4" w:space="0" w:color="000000"/>
              <w:right w:val="single" w:sz="4" w:space="0" w:color="000000"/>
            </w:tcBorders>
            <w:shd w:val="clear" w:color="auto" w:fill="EDEDED"/>
            <w:tcMar>
              <w:top w:w="80" w:type="dxa"/>
              <w:left w:w="80" w:type="dxa"/>
              <w:bottom w:w="80" w:type="dxa"/>
              <w:right w:w="80" w:type="dxa"/>
            </w:tcMar>
            <w:vAlign w:val="center"/>
          </w:tcPr>
          <w:p w:rsidR="00AE798A" w:rsidRDefault="00E46C0C">
            <w:pPr>
              <w:pStyle w:val="a6"/>
              <w:ind w:firstLine="26"/>
              <w:jc w:val="center"/>
            </w:pPr>
            <w:r>
              <w:rPr>
                <w:sz w:val="24"/>
                <w:szCs w:val="24"/>
              </w:rPr>
              <w:t>167</w:t>
            </w:r>
          </w:p>
        </w:tc>
        <w:tc>
          <w:tcPr>
            <w:tcW w:w="1417" w:type="dxa"/>
            <w:tcBorders>
              <w:top w:val="single" w:sz="4" w:space="0" w:color="000000"/>
              <w:left w:val="single" w:sz="4" w:space="0" w:color="000000"/>
              <w:bottom w:val="single" w:sz="4" w:space="0" w:color="000000"/>
              <w:right w:val="single" w:sz="4" w:space="0" w:color="000000"/>
            </w:tcBorders>
            <w:shd w:val="clear" w:color="auto" w:fill="E2EFD9"/>
            <w:tcMar>
              <w:top w:w="80" w:type="dxa"/>
              <w:left w:w="80" w:type="dxa"/>
              <w:bottom w:w="80" w:type="dxa"/>
              <w:right w:w="80" w:type="dxa"/>
            </w:tcMar>
            <w:vAlign w:val="center"/>
          </w:tcPr>
          <w:p w:rsidR="00AE798A" w:rsidRDefault="00E46C0C">
            <w:pPr>
              <w:pStyle w:val="a6"/>
              <w:ind w:firstLine="26"/>
              <w:jc w:val="center"/>
            </w:pPr>
            <w:r>
              <w:rPr>
                <w:sz w:val="24"/>
                <w:szCs w:val="24"/>
              </w:rPr>
              <w:t>50</w:t>
            </w:r>
          </w:p>
        </w:tc>
        <w:tc>
          <w:tcPr>
            <w:tcW w:w="1418" w:type="dxa"/>
            <w:tcBorders>
              <w:top w:val="single" w:sz="4" w:space="0" w:color="000000"/>
              <w:left w:val="single" w:sz="4" w:space="0" w:color="000000"/>
              <w:bottom w:val="single" w:sz="4" w:space="0" w:color="000000"/>
              <w:right w:val="single" w:sz="4" w:space="0" w:color="000000"/>
            </w:tcBorders>
            <w:shd w:val="clear" w:color="auto" w:fill="E2EFD9"/>
            <w:tcMar>
              <w:top w:w="80" w:type="dxa"/>
              <w:left w:w="80" w:type="dxa"/>
              <w:bottom w:w="80" w:type="dxa"/>
              <w:right w:w="80" w:type="dxa"/>
            </w:tcMar>
            <w:vAlign w:val="center"/>
          </w:tcPr>
          <w:p w:rsidR="00AE798A" w:rsidRDefault="00E46C0C">
            <w:pPr>
              <w:pStyle w:val="a6"/>
              <w:ind w:firstLine="26"/>
              <w:jc w:val="center"/>
            </w:pPr>
            <w:r>
              <w:rPr>
                <w:sz w:val="24"/>
                <w:szCs w:val="24"/>
              </w:rPr>
              <w:t>43</w:t>
            </w:r>
          </w:p>
        </w:tc>
      </w:tr>
      <w:tr w:rsidR="00AE798A">
        <w:trPr>
          <w:trHeight w:val="900"/>
        </w:trPr>
        <w:tc>
          <w:tcPr>
            <w:tcW w:w="1852" w:type="dxa"/>
            <w:tcBorders>
              <w:top w:val="single" w:sz="4" w:space="0" w:color="000000"/>
              <w:left w:val="single" w:sz="4" w:space="0" w:color="000000"/>
              <w:bottom w:val="single" w:sz="4" w:space="0" w:color="000000"/>
              <w:right w:val="single" w:sz="4" w:space="0" w:color="000000"/>
            </w:tcBorders>
            <w:shd w:val="clear" w:color="auto" w:fill="DBE5F1"/>
            <w:tcMar>
              <w:top w:w="80" w:type="dxa"/>
              <w:left w:w="80" w:type="dxa"/>
              <w:bottom w:w="80" w:type="dxa"/>
              <w:right w:w="80" w:type="dxa"/>
            </w:tcMar>
            <w:vAlign w:val="bottom"/>
          </w:tcPr>
          <w:p w:rsidR="00AE798A" w:rsidRDefault="00E46C0C">
            <w:pPr>
              <w:pStyle w:val="a6"/>
              <w:ind w:firstLine="22"/>
              <w:jc w:val="center"/>
            </w:pPr>
            <w:r>
              <w:rPr>
                <w:b/>
                <w:bCs/>
                <w:sz w:val="24"/>
                <w:szCs w:val="24"/>
              </w:rPr>
              <w:t>ВІДМОВА</w:t>
            </w:r>
            <w:r>
              <w:rPr>
                <w:b/>
                <w:bCs/>
                <w:sz w:val="24"/>
                <w:szCs w:val="24"/>
              </w:rPr>
              <w:br/>
              <w:t>з формальних підстав</w:t>
            </w:r>
          </w:p>
        </w:tc>
        <w:tc>
          <w:tcPr>
            <w:tcW w:w="1383" w:type="dxa"/>
            <w:tcBorders>
              <w:top w:val="single" w:sz="4" w:space="0" w:color="000000"/>
              <w:left w:val="single" w:sz="4" w:space="0" w:color="000000"/>
              <w:bottom w:val="single" w:sz="4" w:space="0" w:color="000000"/>
              <w:right w:val="single" w:sz="4" w:space="0" w:color="000000"/>
            </w:tcBorders>
            <w:shd w:val="clear" w:color="auto" w:fill="FBE4D5"/>
            <w:tcMar>
              <w:top w:w="80" w:type="dxa"/>
              <w:left w:w="80" w:type="dxa"/>
              <w:bottom w:w="80" w:type="dxa"/>
              <w:right w:w="80" w:type="dxa"/>
            </w:tcMar>
            <w:vAlign w:val="center"/>
          </w:tcPr>
          <w:p w:rsidR="00AE798A" w:rsidRDefault="00E46C0C">
            <w:pPr>
              <w:pStyle w:val="a6"/>
              <w:ind w:firstLine="26"/>
              <w:jc w:val="center"/>
            </w:pPr>
            <w:r>
              <w:rPr>
                <w:sz w:val="24"/>
                <w:szCs w:val="24"/>
              </w:rPr>
              <w:t>150</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cMar>
              <w:top w:w="80" w:type="dxa"/>
              <w:left w:w="80" w:type="dxa"/>
              <w:bottom w:w="80" w:type="dxa"/>
              <w:right w:w="80" w:type="dxa"/>
            </w:tcMar>
            <w:vAlign w:val="center"/>
          </w:tcPr>
          <w:p w:rsidR="00AE798A" w:rsidRDefault="00E46C0C">
            <w:pPr>
              <w:pStyle w:val="a6"/>
              <w:ind w:firstLine="26"/>
              <w:jc w:val="center"/>
            </w:pPr>
            <w:r>
              <w:rPr>
                <w:sz w:val="24"/>
                <w:szCs w:val="24"/>
              </w:rPr>
              <w:t>0</w:t>
            </w:r>
          </w:p>
        </w:tc>
        <w:tc>
          <w:tcPr>
            <w:tcW w:w="1417" w:type="dxa"/>
            <w:tcBorders>
              <w:top w:val="single" w:sz="4" w:space="0" w:color="000000"/>
              <w:left w:val="single" w:sz="4" w:space="0" w:color="000000"/>
              <w:bottom w:val="single" w:sz="4" w:space="0" w:color="000000"/>
              <w:right w:val="single" w:sz="4" w:space="0" w:color="000000"/>
            </w:tcBorders>
            <w:shd w:val="clear" w:color="auto" w:fill="EDEDED"/>
            <w:tcMar>
              <w:top w:w="80" w:type="dxa"/>
              <w:left w:w="80" w:type="dxa"/>
              <w:bottom w:w="80" w:type="dxa"/>
              <w:right w:w="80" w:type="dxa"/>
            </w:tcMar>
            <w:vAlign w:val="center"/>
          </w:tcPr>
          <w:p w:rsidR="00AE798A" w:rsidRDefault="00E46C0C">
            <w:pPr>
              <w:pStyle w:val="a6"/>
              <w:ind w:firstLine="26"/>
              <w:jc w:val="center"/>
            </w:pPr>
            <w:r>
              <w:rPr>
                <w:sz w:val="24"/>
                <w:szCs w:val="24"/>
              </w:rPr>
              <w:t>184</w:t>
            </w:r>
          </w:p>
        </w:tc>
        <w:tc>
          <w:tcPr>
            <w:tcW w:w="1275" w:type="dxa"/>
            <w:tcBorders>
              <w:top w:val="single" w:sz="4" w:space="0" w:color="000000"/>
              <w:left w:val="single" w:sz="4" w:space="0" w:color="000000"/>
              <w:bottom w:val="single" w:sz="4" w:space="0" w:color="000000"/>
              <w:right w:val="single" w:sz="4" w:space="0" w:color="000000"/>
            </w:tcBorders>
            <w:shd w:val="clear" w:color="auto" w:fill="EDEDED"/>
            <w:tcMar>
              <w:top w:w="80" w:type="dxa"/>
              <w:left w:w="80" w:type="dxa"/>
              <w:bottom w:w="80" w:type="dxa"/>
              <w:right w:w="80" w:type="dxa"/>
            </w:tcMar>
            <w:vAlign w:val="center"/>
          </w:tcPr>
          <w:p w:rsidR="00AE798A" w:rsidRDefault="00E46C0C">
            <w:pPr>
              <w:pStyle w:val="a6"/>
              <w:ind w:firstLine="26"/>
              <w:jc w:val="center"/>
            </w:pPr>
            <w:r>
              <w:rPr>
                <w:sz w:val="24"/>
                <w:szCs w:val="24"/>
              </w:rPr>
              <w:t>0</w:t>
            </w:r>
          </w:p>
        </w:tc>
        <w:tc>
          <w:tcPr>
            <w:tcW w:w="1417" w:type="dxa"/>
            <w:tcBorders>
              <w:top w:val="single" w:sz="4" w:space="0" w:color="000000"/>
              <w:left w:val="single" w:sz="4" w:space="0" w:color="000000"/>
              <w:bottom w:val="single" w:sz="4" w:space="0" w:color="000000"/>
              <w:right w:val="single" w:sz="4" w:space="0" w:color="000000"/>
            </w:tcBorders>
            <w:shd w:val="clear" w:color="auto" w:fill="E2EFD9"/>
            <w:tcMar>
              <w:top w:w="80" w:type="dxa"/>
              <w:left w:w="80" w:type="dxa"/>
              <w:bottom w:w="80" w:type="dxa"/>
              <w:right w:w="80" w:type="dxa"/>
            </w:tcMar>
            <w:vAlign w:val="center"/>
          </w:tcPr>
          <w:p w:rsidR="00AE798A" w:rsidRDefault="00E46C0C">
            <w:pPr>
              <w:pStyle w:val="a6"/>
              <w:ind w:firstLine="26"/>
              <w:jc w:val="center"/>
            </w:pPr>
            <w:r>
              <w:rPr>
                <w:sz w:val="24"/>
                <w:szCs w:val="24"/>
              </w:rPr>
              <w:t>167</w:t>
            </w:r>
          </w:p>
        </w:tc>
        <w:tc>
          <w:tcPr>
            <w:tcW w:w="1418" w:type="dxa"/>
            <w:tcBorders>
              <w:top w:val="single" w:sz="4" w:space="0" w:color="000000"/>
              <w:left w:val="single" w:sz="4" w:space="0" w:color="000000"/>
              <w:bottom w:val="single" w:sz="4" w:space="0" w:color="000000"/>
              <w:right w:val="single" w:sz="4" w:space="0" w:color="000000"/>
            </w:tcBorders>
            <w:shd w:val="clear" w:color="auto" w:fill="E2EFD9"/>
            <w:tcMar>
              <w:top w:w="80" w:type="dxa"/>
              <w:left w:w="80" w:type="dxa"/>
              <w:bottom w:w="80" w:type="dxa"/>
              <w:right w:w="80" w:type="dxa"/>
            </w:tcMar>
            <w:vAlign w:val="center"/>
          </w:tcPr>
          <w:p w:rsidR="00AE798A" w:rsidRDefault="00E46C0C">
            <w:pPr>
              <w:pStyle w:val="a6"/>
              <w:ind w:firstLine="26"/>
              <w:jc w:val="center"/>
            </w:pPr>
            <w:r>
              <w:rPr>
                <w:sz w:val="24"/>
                <w:szCs w:val="24"/>
              </w:rPr>
              <w:t>0</w:t>
            </w:r>
          </w:p>
        </w:tc>
      </w:tr>
      <w:tr w:rsidR="00AE798A">
        <w:trPr>
          <w:trHeight w:val="600"/>
        </w:trPr>
        <w:tc>
          <w:tcPr>
            <w:tcW w:w="1852" w:type="dxa"/>
            <w:tcBorders>
              <w:top w:val="single" w:sz="4" w:space="0" w:color="000000"/>
              <w:left w:val="single" w:sz="4" w:space="0" w:color="000000"/>
              <w:bottom w:val="single" w:sz="4" w:space="0" w:color="000000"/>
              <w:right w:val="single" w:sz="4" w:space="0" w:color="000000"/>
            </w:tcBorders>
            <w:shd w:val="clear" w:color="auto" w:fill="DBE5F1"/>
            <w:tcMar>
              <w:top w:w="80" w:type="dxa"/>
              <w:left w:w="80" w:type="dxa"/>
              <w:bottom w:w="80" w:type="dxa"/>
              <w:right w:w="80" w:type="dxa"/>
            </w:tcMar>
            <w:vAlign w:val="bottom"/>
          </w:tcPr>
          <w:p w:rsidR="00AE798A" w:rsidRDefault="00E46C0C">
            <w:pPr>
              <w:pStyle w:val="a6"/>
              <w:ind w:firstLine="22"/>
              <w:jc w:val="center"/>
            </w:pPr>
            <w:r>
              <w:rPr>
                <w:b/>
                <w:bCs/>
                <w:sz w:val="24"/>
                <w:szCs w:val="24"/>
              </w:rPr>
              <w:lastRenderedPageBreak/>
              <w:t>ВІДМОВА</w:t>
            </w:r>
            <w:r>
              <w:rPr>
                <w:b/>
                <w:bCs/>
                <w:sz w:val="24"/>
                <w:szCs w:val="24"/>
              </w:rPr>
              <w:br/>
              <w:t>по суті</w:t>
            </w:r>
          </w:p>
        </w:tc>
        <w:tc>
          <w:tcPr>
            <w:tcW w:w="1383" w:type="dxa"/>
            <w:tcBorders>
              <w:top w:val="single" w:sz="4" w:space="0" w:color="000000"/>
              <w:left w:val="single" w:sz="4" w:space="0" w:color="000000"/>
              <w:bottom w:val="single" w:sz="4" w:space="0" w:color="000000"/>
              <w:right w:val="single" w:sz="4" w:space="0" w:color="000000"/>
            </w:tcBorders>
            <w:shd w:val="clear" w:color="auto" w:fill="FBE4D5"/>
            <w:tcMar>
              <w:top w:w="80" w:type="dxa"/>
              <w:left w:w="80" w:type="dxa"/>
              <w:bottom w:w="80" w:type="dxa"/>
              <w:right w:w="80" w:type="dxa"/>
            </w:tcMar>
            <w:vAlign w:val="center"/>
          </w:tcPr>
          <w:p w:rsidR="00AE798A" w:rsidRDefault="00E46C0C">
            <w:pPr>
              <w:pStyle w:val="a6"/>
              <w:ind w:firstLine="26"/>
              <w:jc w:val="center"/>
            </w:pPr>
            <w:r>
              <w:rPr>
                <w:sz w:val="24"/>
                <w:szCs w:val="24"/>
              </w:rPr>
              <w:t>42</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cMar>
              <w:top w:w="80" w:type="dxa"/>
              <w:left w:w="80" w:type="dxa"/>
              <w:bottom w:w="80" w:type="dxa"/>
              <w:right w:w="80" w:type="dxa"/>
            </w:tcMar>
            <w:vAlign w:val="center"/>
          </w:tcPr>
          <w:p w:rsidR="00AE798A" w:rsidRDefault="00E46C0C">
            <w:pPr>
              <w:pStyle w:val="a6"/>
              <w:ind w:firstLine="26"/>
              <w:jc w:val="center"/>
            </w:pPr>
            <w:r>
              <w:rPr>
                <w:color w:val="FF0000"/>
                <w:sz w:val="24"/>
                <w:szCs w:val="24"/>
                <w:u w:color="FF0000"/>
              </w:rPr>
              <w:t>72</w:t>
            </w:r>
          </w:p>
        </w:tc>
        <w:tc>
          <w:tcPr>
            <w:tcW w:w="1417" w:type="dxa"/>
            <w:tcBorders>
              <w:top w:val="single" w:sz="4" w:space="0" w:color="000000"/>
              <w:left w:val="single" w:sz="4" w:space="0" w:color="000000"/>
              <w:bottom w:val="single" w:sz="4" w:space="0" w:color="000000"/>
              <w:right w:val="single" w:sz="4" w:space="0" w:color="000000"/>
            </w:tcBorders>
            <w:shd w:val="clear" w:color="auto" w:fill="EDEDED"/>
            <w:tcMar>
              <w:top w:w="80" w:type="dxa"/>
              <w:left w:w="80" w:type="dxa"/>
              <w:bottom w:w="80" w:type="dxa"/>
              <w:right w:w="80" w:type="dxa"/>
            </w:tcMar>
            <w:vAlign w:val="center"/>
          </w:tcPr>
          <w:p w:rsidR="00AE798A" w:rsidRDefault="00E46C0C">
            <w:pPr>
              <w:pStyle w:val="a6"/>
              <w:ind w:firstLine="26"/>
              <w:jc w:val="center"/>
            </w:pPr>
            <w:r>
              <w:rPr>
                <w:sz w:val="24"/>
                <w:szCs w:val="24"/>
              </w:rPr>
              <w:t>32</w:t>
            </w:r>
          </w:p>
        </w:tc>
        <w:tc>
          <w:tcPr>
            <w:tcW w:w="1275" w:type="dxa"/>
            <w:tcBorders>
              <w:top w:val="single" w:sz="4" w:space="0" w:color="000000"/>
              <w:left w:val="single" w:sz="4" w:space="0" w:color="000000"/>
              <w:bottom w:val="single" w:sz="4" w:space="0" w:color="000000"/>
              <w:right w:val="single" w:sz="4" w:space="0" w:color="000000"/>
            </w:tcBorders>
            <w:shd w:val="clear" w:color="auto" w:fill="EDEDED"/>
            <w:tcMar>
              <w:top w:w="80" w:type="dxa"/>
              <w:left w:w="80" w:type="dxa"/>
              <w:bottom w:w="80" w:type="dxa"/>
              <w:right w:w="80" w:type="dxa"/>
            </w:tcMar>
            <w:vAlign w:val="center"/>
          </w:tcPr>
          <w:p w:rsidR="00AE798A" w:rsidRDefault="00E46C0C">
            <w:pPr>
              <w:pStyle w:val="a6"/>
              <w:ind w:firstLine="26"/>
              <w:jc w:val="center"/>
            </w:pPr>
            <w:r>
              <w:rPr>
                <w:color w:val="FF0000"/>
                <w:sz w:val="24"/>
                <w:szCs w:val="24"/>
                <w:u w:color="FF0000"/>
              </w:rPr>
              <w:t>99</w:t>
            </w:r>
          </w:p>
        </w:tc>
        <w:tc>
          <w:tcPr>
            <w:tcW w:w="1417" w:type="dxa"/>
            <w:tcBorders>
              <w:top w:val="single" w:sz="4" w:space="0" w:color="000000"/>
              <w:left w:val="single" w:sz="4" w:space="0" w:color="000000"/>
              <w:bottom w:val="single" w:sz="4" w:space="0" w:color="000000"/>
              <w:right w:val="single" w:sz="4" w:space="0" w:color="000000"/>
            </w:tcBorders>
            <w:shd w:val="clear" w:color="auto" w:fill="E2EFD9"/>
            <w:tcMar>
              <w:top w:w="80" w:type="dxa"/>
              <w:left w:w="80" w:type="dxa"/>
              <w:bottom w:w="80" w:type="dxa"/>
              <w:right w:w="80" w:type="dxa"/>
            </w:tcMar>
            <w:vAlign w:val="center"/>
          </w:tcPr>
          <w:p w:rsidR="00AE798A" w:rsidRDefault="00E46C0C">
            <w:pPr>
              <w:pStyle w:val="a6"/>
              <w:ind w:firstLine="26"/>
              <w:jc w:val="center"/>
            </w:pPr>
            <w:r>
              <w:rPr>
                <w:sz w:val="24"/>
                <w:szCs w:val="24"/>
              </w:rPr>
              <w:t>43</w:t>
            </w:r>
          </w:p>
        </w:tc>
        <w:tc>
          <w:tcPr>
            <w:tcW w:w="1418" w:type="dxa"/>
            <w:tcBorders>
              <w:top w:val="single" w:sz="4" w:space="0" w:color="000000"/>
              <w:left w:val="single" w:sz="4" w:space="0" w:color="000000"/>
              <w:bottom w:val="single" w:sz="4" w:space="0" w:color="000000"/>
              <w:right w:val="single" w:sz="4" w:space="0" w:color="000000"/>
            </w:tcBorders>
            <w:shd w:val="clear" w:color="auto" w:fill="E2EFD9"/>
            <w:tcMar>
              <w:top w:w="80" w:type="dxa"/>
              <w:left w:w="80" w:type="dxa"/>
              <w:bottom w:w="80" w:type="dxa"/>
              <w:right w:w="80" w:type="dxa"/>
            </w:tcMar>
            <w:vAlign w:val="center"/>
          </w:tcPr>
          <w:p w:rsidR="00AE798A" w:rsidRDefault="00E46C0C">
            <w:pPr>
              <w:pStyle w:val="a6"/>
              <w:ind w:firstLine="26"/>
              <w:jc w:val="center"/>
            </w:pPr>
            <w:r>
              <w:rPr>
                <w:color w:val="FF0000"/>
                <w:sz w:val="24"/>
                <w:szCs w:val="24"/>
                <w:u w:color="FF0000"/>
                <w:lang w:val="ru-RU"/>
              </w:rPr>
              <w:t>57</w:t>
            </w:r>
          </w:p>
        </w:tc>
      </w:tr>
      <w:tr w:rsidR="00AE798A">
        <w:trPr>
          <w:trHeight w:val="900"/>
        </w:trPr>
        <w:tc>
          <w:tcPr>
            <w:tcW w:w="1852" w:type="dxa"/>
            <w:tcBorders>
              <w:top w:val="single" w:sz="4" w:space="0" w:color="000000"/>
              <w:left w:val="single" w:sz="4" w:space="0" w:color="000000"/>
              <w:bottom w:val="single" w:sz="4" w:space="0" w:color="000000"/>
              <w:right w:val="single" w:sz="4" w:space="0" w:color="000000"/>
            </w:tcBorders>
            <w:shd w:val="clear" w:color="auto" w:fill="DBE5F1"/>
            <w:tcMar>
              <w:top w:w="80" w:type="dxa"/>
              <w:left w:w="80" w:type="dxa"/>
              <w:bottom w:w="80" w:type="dxa"/>
              <w:right w:w="80" w:type="dxa"/>
            </w:tcMar>
            <w:vAlign w:val="bottom"/>
          </w:tcPr>
          <w:p w:rsidR="00AE798A" w:rsidRDefault="00E46C0C">
            <w:pPr>
              <w:pStyle w:val="a6"/>
              <w:ind w:firstLine="22"/>
              <w:jc w:val="center"/>
            </w:pPr>
            <w:r>
              <w:rPr>
                <w:b/>
                <w:bCs/>
                <w:sz w:val="24"/>
                <w:szCs w:val="24"/>
              </w:rPr>
              <w:t>ВСЬОГО розглянутих скарг</w:t>
            </w:r>
          </w:p>
        </w:tc>
        <w:tc>
          <w:tcPr>
            <w:tcW w:w="1383" w:type="dxa"/>
            <w:tcBorders>
              <w:top w:val="single" w:sz="4" w:space="0" w:color="000000"/>
              <w:left w:val="single" w:sz="4" w:space="0" w:color="000000"/>
              <w:bottom w:val="single" w:sz="4" w:space="0" w:color="000000"/>
              <w:right w:val="single" w:sz="4" w:space="0" w:color="000000"/>
            </w:tcBorders>
            <w:shd w:val="clear" w:color="auto" w:fill="FBE4D5"/>
            <w:tcMar>
              <w:top w:w="80" w:type="dxa"/>
              <w:left w:w="80" w:type="dxa"/>
              <w:bottom w:w="80" w:type="dxa"/>
              <w:right w:w="80" w:type="dxa"/>
            </w:tcMar>
            <w:vAlign w:val="center"/>
          </w:tcPr>
          <w:p w:rsidR="00AE798A" w:rsidRDefault="00E46C0C">
            <w:pPr>
              <w:pStyle w:val="a6"/>
              <w:ind w:firstLine="26"/>
              <w:jc w:val="center"/>
            </w:pPr>
            <w:r>
              <w:rPr>
                <w:b/>
                <w:bCs/>
                <w:sz w:val="24"/>
                <w:szCs w:val="24"/>
              </w:rPr>
              <w:t>234</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cMar>
              <w:top w:w="80" w:type="dxa"/>
              <w:left w:w="80" w:type="dxa"/>
              <w:bottom w:w="80" w:type="dxa"/>
              <w:right w:w="80" w:type="dxa"/>
            </w:tcMar>
            <w:vAlign w:val="center"/>
          </w:tcPr>
          <w:p w:rsidR="00AE798A" w:rsidRDefault="00E46C0C">
            <w:pPr>
              <w:pStyle w:val="a6"/>
              <w:ind w:firstLine="26"/>
              <w:jc w:val="center"/>
            </w:pPr>
            <w:r>
              <w:rPr>
                <w:b/>
                <w:bCs/>
                <w:sz w:val="24"/>
                <w:szCs w:val="24"/>
              </w:rPr>
              <w:t>133</w:t>
            </w:r>
          </w:p>
        </w:tc>
        <w:tc>
          <w:tcPr>
            <w:tcW w:w="1417" w:type="dxa"/>
            <w:tcBorders>
              <w:top w:val="single" w:sz="4" w:space="0" w:color="000000"/>
              <w:left w:val="single" w:sz="4" w:space="0" w:color="000000"/>
              <w:bottom w:val="single" w:sz="4" w:space="0" w:color="000000"/>
              <w:right w:val="single" w:sz="4" w:space="0" w:color="000000"/>
            </w:tcBorders>
            <w:shd w:val="clear" w:color="auto" w:fill="EDEDED"/>
            <w:tcMar>
              <w:top w:w="80" w:type="dxa"/>
              <w:left w:w="80" w:type="dxa"/>
              <w:bottom w:w="80" w:type="dxa"/>
              <w:right w:w="80" w:type="dxa"/>
            </w:tcMar>
            <w:vAlign w:val="center"/>
          </w:tcPr>
          <w:p w:rsidR="00AE798A" w:rsidRDefault="00E46C0C">
            <w:pPr>
              <w:pStyle w:val="a6"/>
              <w:ind w:firstLine="26"/>
              <w:jc w:val="center"/>
            </w:pPr>
            <w:r>
              <w:rPr>
                <w:b/>
                <w:bCs/>
                <w:sz w:val="24"/>
                <w:szCs w:val="24"/>
              </w:rPr>
              <w:t>237</w:t>
            </w:r>
          </w:p>
        </w:tc>
        <w:tc>
          <w:tcPr>
            <w:tcW w:w="1275" w:type="dxa"/>
            <w:tcBorders>
              <w:top w:val="single" w:sz="4" w:space="0" w:color="000000"/>
              <w:left w:val="single" w:sz="4" w:space="0" w:color="000000"/>
              <w:bottom w:val="single" w:sz="4" w:space="0" w:color="000000"/>
              <w:right w:val="single" w:sz="4" w:space="0" w:color="000000"/>
            </w:tcBorders>
            <w:shd w:val="clear" w:color="auto" w:fill="EDEDED"/>
            <w:tcMar>
              <w:top w:w="80" w:type="dxa"/>
              <w:left w:w="80" w:type="dxa"/>
              <w:bottom w:w="80" w:type="dxa"/>
              <w:right w:w="80" w:type="dxa"/>
            </w:tcMar>
            <w:vAlign w:val="center"/>
          </w:tcPr>
          <w:p w:rsidR="00AE798A" w:rsidRDefault="00E46C0C">
            <w:pPr>
              <w:pStyle w:val="a6"/>
              <w:ind w:firstLine="26"/>
              <w:jc w:val="center"/>
            </w:pPr>
            <w:r>
              <w:rPr>
                <w:b/>
                <w:bCs/>
                <w:sz w:val="24"/>
                <w:szCs w:val="24"/>
              </w:rPr>
              <w:t>266</w:t>
            </w:r>
          </w:p>
        </w:tc>
        <w:tc>
          <w:tcPr>
            <w:tcW w:w="1417" w:type="dxa"/>
            <w:tcBorders>
              <w:top w:val="single" w:sz="4" w:space="0" w:color="000000"/>
              <w:left w:val="single" w:sz="4" w:space="0" w:color="000000"/>
              <w:bottom w:val="single" w:sz="4" w:space="0" w:color="000000"/>
              <w:right w:val="single" w:sz="4" w:space="0" w:color="000000"/>
            </w:tcBorders>
            <w:shd w:val="clear" w:color="auto" w:fill="E2EFD9"/>
            <w:tcMar>
              <w:top w:w="80" w:type="dxa"/>
              <w:left w:w="80" w:type="dxa"/>
              <w:bottom w:w="80" w:type="dxa"/>
              <w:right w:w="80" w:type="dxa"/>
            </w:tcMar>
            <w:vAlign w:val="center"/>
          </w:tcPr>
          <w:p w:rsidR="00AE798A" w:rsidRDefault="00E46C0C">
            <w:pPr>
              <w:pStyle w:val="a6"/>
              <w:ind w:firstLine="26"/>
              <w:jc w:val="center"/>
            </w:pPr>
            <w:r>
              <w:rPr>
                <w:b/>
                <w:bCs/>
                <w:sz w:val="24"/>
                <w:szCs w:val="24"/>
              </w:rPr>
              <w:t>260</w:t>
            </w:r>
          </w:p>
        </w:tc>
        <w:tc>
          <w:tcPr>
            <w:tcW w:w="1418" w:type="dxa"/>
            <w:tcBorders>
              <w:top w:val="single" w:sz="4" w:space="0" w:color="000000"/>
              <w:left w:val="single" w:sz="4" w:space="0" w:color="000000"/>
              <w:bottom w:val="single" w:sz="4" w:space="0" w:color="000000"/>
              <w:right w:val="single" w:sz="4" w:space="0" w:color="000000"/>
            </w:tcBorders>
            <w:shd w:val="clear" w:color="auto" w:fill="E2EFD9"/>
            <w:tcMar>
              <w:top w:w="80" w:type="dxa"/>
              <w:left w:w="80" w:type="dxa"/>
              <w:bottom w:w="80" w:type="dxa"/>
              <w:right w:w="80" w:type="dxa"/>
            </w:tcMar>
            <w:vAlign w:val="center"/>
          </w:tcPr>
          <w:p w:rsidR="00AE798A" w:rsidRDefault="00E46C0C">
            <w:pPr>
              <w:pStyle w:val="a6"/>
              <w:ind w:firstLine="26"/>
              <w:jc w:val="center"/>
            </w:pPr>
            <w:r>
              <w:rPr>
                <w:b/>
                <w:bCs/>
                <w:sz w:val="24"/>
                <w:szCs w:val="24"/>
              </w:rPr>
              <w:t>100</w:t>
            </w:r>
          </w:p>
        </w:tc>
      </w:tr>
    </w:tbl>
    <w:p w:rsidR="00AE798A" w:rsidRDefault="00E46C0C">
      <w:pPr>
        <w:pStyle w:val="a6"/>
        <w:shd w:val="clear" w:color="auto" w:fill="FFFFFF"/>
        <w:ind w:firstLine="567"/>
        <w:jc w:val="both"/>
        <w:rPr>
          <w:shd w:val="clear" w:color="auto" w:fill="FFFFFF"/>
        </w:rPr>
      </w:pPr>
      <w:r>
        <w:rPr>
          <w:shd w:val="clear" w:color="auto" w:fill="FFFFFF"/>
          <w:lang w:val="ru-RU"/>
        </w:rPr>
        <w:t>Таким чином</w:t>
      </w:r>
      <w:r>
        <w:rPr>
          <w:shd w:val="clear" w:color="auto" w:fill="FFFFFF"/>
        </w:rPr>
        <w:t>, необхідно прибрати відповідні бар'єри для розгляду скарг по суті для недопущення повернення попередньої практики відмов з формальних підстав.</w:t>
      </w:r>
    </w:p>
    <w:p w:rsidR="00AE798A" w:rsidRDefault="00E46C0C">
      <w:pPr>
        <w:pStyle w:val="a6"/>
        <w:ind w:firstLine="567"/>
        <w:jc w:val="both"/>
        <w:rPr>
          <w:shd w:val="clear" w:color="auto" w:fill="FFFFFF"/>
        </w:rPr>
      </w:pPr>
      <w:r>
        <w:rPr>
          <w:shd w:val="clear" w:color="auto" w:fill="FFFFFF"/>
        </w:rPr>
        <w:t xml:space="preserve">По-третє, за чинним законодавством у разі відмови в задоволенні скарги через її неналежне оформлення скаржник має право повторно звернутися зі скаргою, однак в межах визначеного строку на оскарження, який в такому випадку не зупиняється та спливає у загальному порядку. Раніше дуже багато скаржників, які зверталися до Міністерства юстиції України, отримували спочатку відмову через неналежне оформлення скарги, а після усунення недоліків скарги – відмову через пропущений строк на оскарження. </w:t>
      </w:r>
    </w:p>
    <w:p w:rsidR="00AE798A" w:rsidRDefault="00E46C0C">
      <w:pPr>
        <w:pStyle w:val="a6"/>
        <w:shd w:val="clear" w:color="auto" w:fill="FFFFFF"/>
        <w:ind w:firstLine="567"/>
        <w:jc w:val="both"/>
      </w:pPr>
      <w:r>
        <w:t xml:space="preserve">По-четверте, нинішній </w:t>
      </w:r>
      <w:r>
        <w:rPr>
          <w:shd w:val="clear" w:color="auto" w:fill="FFFFFF"/>
        </w:rPr>
        <w:t xml:space="preserve">інститут </w:t>
      </w:r>
      <w:r w:rsidRPr="002B7935">
        <w:rPr>
          <w:shd w:val="clear" w:color="auto" w:fill="FFFFFF"/>
        </w:rPr>
        <w:t>"</w:t>
      </w:r>
      <w:r>
        <w:rPr>
          <w:shd w:val="clear" w:color="auto" w:fill="FFFFFF"/>
        </w:rPr>
        <w:t>з</w:t>
      </w:r>
      <w:r>
        <w:t>упинення розгляду документів, поданих для державної реєстрації</w:t>
      </w:r>
      <w:r w:rsidRPr="002B7935">
        <w:t xml:space="preserve">" </w:t>
      </w:r>
      <w:r>
        <w:t xml:space="preserve">на практиці нерідко використовується недобросовісними особами для так званого </w:t>
      </w:r>
      <w:r w:rsidRPr="002B7935">
        <w:t>"</w:t>
      </w:r>
      <w:r>
        <w:t>підвішування</w:t>
      </w:r>
      <w:r w:rsidRPr="002B7935">
        <w:t xml:space="preserve">" </w:t>
      </w:r>
      <w:r>
        <w:t>Єдиного державного реєстру юридичних осіб, фізичних осіб-підприємців та громадських формувань на строк до 15 днів, протягом якого проведення реєстраційних дій блокується.</w:t>
      </w:r>
    </w:p>
    <w:p w:rsidR="00AE798A" w:rsidRDefault="00E46C0C">
      <w:pPr>
        <w:pStyle w:val="a6"/>
        <w:shd w:val="clear" w:color="auto" w:fill="FFFFFF"/>
        <w:ind w:firstLine="567"/>
        <w:jc w:val="both"/>
        <w:rPr>
          <w:shd w:val="clear" w:color="auto" w:fill="FFFFFF"/>
        </w:rPr>
      </w:pPr>
      <w:r>
        <w:rPr>
          <w:shd w:val="clear" w:color="auto" w:fill="FFFFFF"/>
        </w:rPr>
        <w:t xml:space="preserve">По-п'яте, чинне законодавство передбачає можливість підписання протоколу загальних зборів учасників юридичної особи лише головою та секретарем зборів (для товариства з обмеженою або додатковою відповідальністю достатньо підпису одного лише голови зборів). </w:t>
      </w:r>
    </w:p>
    <w:p w:rsidR="00AE798A" w:rsidRDefault="00E46C0C">
      <w:pPr>
        <w:pStyle w:val="a6"/>
        <w:shd w:val="clear" w:color="auto" w:fill="FFFFFF"/>
        <w:ind w:firstLine="567"/>
        <w:jc w:val="both"/>
        <w:rPr>
          <w:shd w:val="clear" w:color="auto" w:fill="FFFFFF"/>
        </w:rPr>
      </w:pPr>
      <w:r>
        <w:rPr>
          <w:shd w:val="clear" w:color="auto" w:fill="FFFFFF"/>
        </w:rPr>
        <w:t xml:space="preserve">Часто рейдерські дії, пов'язані з незаконною зміною керівника юридичної особи, супроводжуються підписанням недобросовісною особою протоколу, в якому стверджується, що на зборах була присутня достатня кількість учасників і що вони голосували за відповідне рішення (хоча насправді такі факти не мали місця). </w:t>
      </w:r>
    </w:p>
    <w:p w:rsidR="00AE798A" w:rsidRDefault="00E46C0C">
      <w:pPr>
        <w:pStyle w:val="a6"/>
        <w:shd w:val="clear" w:color="auto" w:fill="FFFFFF"/>
        <w:ind w:firstLine="567"/>
        <w:jc w:val="both"/>
      </w:pPr>
      <w:r>
        <w:rPr>
          <w:shd w:val="clear" w:color="auto" w:fill="FFFFFF"/>
        </w:rPr>
        <w:t xml:space="preserve">По-шосте, в аграрній сфері непоодинокими є випадки, коли керівник юридичної особи, яка є орендарем земельних ділянок сільськогосподарського призначення, недобросовісно (без погодження із учасниками такої юридичної особи та всупереч її інтересам) підписує правочин про дострокове розірвання відповідних договорів оренди. </w:t>
      </w:r>
      <w:r>
        <w:rPr>
          <w:shd w:val="clear" w:color="auto" w:fill="FFFFFF"/>
          <w:lang w:val="ru-RU"/>
        </w:rPr>
        <w:t>На жаль</w:t>
      </w:r>
      <w:r>
        <w:rPr>
          <w:shd w:val="clear" w:color="auto" w:fill="FFFFFF"/>
        </w:rPr>
        <w:t xml:space="preserve">, не всі учасники відповідних юридичних осіб розуміють відповідні ризики та передбачають </w:t>
      </w:r>
      <w:proofErr w:type="gramStart"/>
      <w:r>
        <w:rPr>
          <w:shd w:val="clear" w:color="auto" w:fill="FFFFFF"/>
        </w:rPr>
        <w:t>у статутах</w:t>
      </w:r>
      <w:proofErr w:type="gramEnd"/>
      <w:r>
        <w:rPr>
          <w:shd w:val="clear" w:color="auto" w:fill="FFFFFF"/>
        </w:rPr>
        <w:t xml:space="preserve"> обмеження повноважень керівника на підписання відповідних правочинів.</w:t>
      </w:r>
    </w:p>
    <w:p w:rsidR="00AE798A" w:rsidRDefault="00E46C0C">
      <w:pPr>
        <w:pStyle w:val="a6"/>
        <w:shd w:val="clear" w:color="auto" w:fill="FFFFFF"/>
        <w:ind w:firstLine="567"/>
        <w:jc w:val="both"/>
      </w:pPr>
      <w:r>
        <w:t xml:space="preserve">По-сьоме, чинне законодавство не передбачає можливості проведення окремих реєстраційних дій щодо фізичних осіб – підприємців та юридичних осіб без втручання людини, гальмуючи тим самим впровадження швидкого реєстраційного сервісу з нульовими корупційними ризиками. </w:t>
      </w:r>
    </w:p>
    <w:p w:rsidR="00AE798A" w:rsidRDefault="00AE798A">
      <w:pPr>
        <w:pStyle w:val="a6"/>
        <w:tabs>
          <w:tab w:val="left" w:pos="567"/>
          <w:tab w:val="left" w:pos="709"/>
          <w:tab w:val="left" w:pos="851"/>
        </w:tabs>
        <w:ind w:firstLine="567"/>
        <w:jc w:val="both"/>
      </w:pPr>
    </w:p>
    <w:p w:rsidR="00AE798A" w:rsidRDefault="00E46C0C">
      <w:pPr>
        <w:pStyle w:val="a6"/>
        <w:tabs>
          <w:tab w:val="left" w:pos="567"/>
          <w:tab w:val="left" w:pos="709"/>
          <w:tab w:val="left" w:pos="851"/>
        </w:tabs>
        <w:ind w:firstLine="567"/>
        <w:jc w:val="both"/>
        <w:rPr>
          <w:b/>
          <w:bCs/>
        </w:rPr>
      </w:pPr>
      <w:r>
        <w:rPr>
          <w:b/>
          <w:bCs/>
        </w:rPr>
        <w:t xml:space="preserve">2. Цілі і завдання прийняття </w:t>
      </w:r>
      <w:proofErr w:type="spellStart"/>
      <w:r>
        <w:rPr>
          <w:b/>
          <w:bCs/>
        </w:rPr>
        <w:t>проєкту</w:t>
      </w:r>
      <w:proofErr w:type="spellEnd"/>
      <w:r>
        <w:rPr>
          <w:b/>
          <w:bCs/>
        </w:rPr>
        <w:t xml:space="preserve"> закону</w:t>
      </w:r>
    </w:p>
    <w:p w:rsidR="00AE798A" w:rsidRDefault="00E46C0C">
      <w:pPr>
        <w:pStyle w:val="a6"/>
        <w:shd w:val="clear" w:color="auto" w:fill="FFFFFF"/>
        <w:tabs>
          <w:tab w:val="left" w:pos="567"/>
          <w:tab w:val="left" w:pos="709"/>
          <w:tab w:val="left" w:pos="851"/>
        </w:tabs>
        <w:ind w:firstLine="567"/>
        <w:jc w:val="both"/>
      </w:pPr>
      <w:r>
        <w:t xml:space="preserve">Метою прийняття </w:t>
      </w:r>
      <w:proofErr w:type="spellStart"/>
      <w:r>
        <w:t>проєкту</w:t>
      </w:r>
      <w:proofErr w:type="spellEnd"/>
      <w:r>
        <w:t xml:space="preserve"> Закону є запровадження низки </w:t>
      </w:r>
      <w:proofErr w:type="spellStart"/>
      <w:r>
        <w:t>антирейдерських</w:t>
      </w:r>
      <w:proofErr w:type="spellEnd"/>
      <w:r>
        <w:t xml:space="preserve"> заходів та встановлення дієвих запобіжників з метою запобігання протиправному захопленню підприємств та незаконному заволодінню нерухомим майном.</w:t>
      </w:r>
    </w:p>
    <w:p w:rsidR="00AE798A" w:rsidRDefault="00AE798A">
      <w:pPr>
        <w:pStyle w:val="a6"/>
        <w:tabs>
          <w:tab w:val="left" w:pos="567"/>
          <w:tab w:val="left" w:pos="709"/>
          <w:tab w:val="left" w:pos="851"/>
        </w:tabs>
        <w:ind w:firstLine="567"/>
        <w:jc w:val="both"/>
      </w:pPr>
    </w:p>
    <w:p w:rsidR="00AE798A" w:rsidRDefault="00E46C0C">
      <w:pPr>
        <w:pStyle w:val="a6"/>
        <w:tabs>
          <w:tab w:val="left" w:pos="567"/>
          <w:tab w:val="left" w:pos="709"/>
          <w:tab w:val="left" w:pos="851"/>
        </w:tabs>
        <w:ind w:firstLine="567"/>
        <w:jc w:val="both"/>
        <w:rPr>
          <w:b/>
          <w:bCs/>
        </w:rPr>
      </w:pPr>
      <w:r>
        <w:rPr>
          <w:b/>
          <w:bCs/>
        </w:rPr>
        <w:t xml:space="preserve">3. Загальна характеристика і основні положення </w:t>
      </w:r>
      <w:proofErr w:type="spellStart"/>
      <w:r>
        <w:rPr>
          <w:b/>
          <w:bCs/>
        </w:rPr>
        <w:t>проєкту</w:t>
      </w:r>
      <w:proofErr w:type="spellEnd"/>
      <w:r>
        <w:rPr>
          <w:b/>
          <w:bCs/>
        </w:rPr>
        <w:t xml:space="preserve"> закону</w:t>
      </w:r>
    </w:p>
    <w:p w:rsidR="00AE798A" w:rsidRDefault="00E46C0C">
      <w:pPr>
        <w:pStyle w:val="a6"/>
        <w:tabs>
          <w:tab w:val="left" w:pos="567"/>
          <w:tab w:val="left" w:pos="709"/>
          <w:tab w:val="left" w:pos="851"/>
        </w:tabs>
        <w:ind w:firstLine="567"/>
        <w:jc w:val="both"/>
      </w:pPr>
      <w:r>
        <w:lastRenderedPageBreak/>
        <w:t>Проектом Закону пропонується:</w:t>
      </w:r>
    </w:p>
    <w:p w:rsidR="00AE798A" w:rsidRDefault="00E46C0C">
      <w:pPr>
        <w:pStyle w:val="a6"/>
        <w:tabs>
          <w:tab w:val="left" w:pos="567"/>
          <w:tab w:val="left" w:pos="709"/>
          <w:tab w:val="left" w:pos="851"/>
          <w:tab w:val="left" w:pos="1832"/>
          <w:tab w:val="left" w:pos="2748"/>
          <w:tab w:val="left" w:pos="3664"/>
          <w:tab w:val="left" w:pos="4580"/>
          <w:tab w:val="left" w:pos="5496"/>
          <w:tab w:val="left" w:pos="6412"/>
          <w:tab w:val="left" w:pos="7328"/>
          <w:tab w:val="left" w:pos="8244"/>
          <w:tab w:val="left" w:pos="9160"/>
          <w:tab w:val="left" w:pos="9558"/>
          <w:tab w:val="left" w:pos="9558"/>
          <w:tab w:val="left" w:pos="9558"/>
          <w:tab w:val="left" w:pos="9558"/>
          <w:tab w:val="left" w:pos="9558"/>
          <w:tab w:val="left" w:pos="9558"/>
        </w:tabs>
        <w:ind w:firstLine="567"/>
        <w:jc w:val="both"/>
      </w:pPr>
      <w:r>
        <w:t xml:space="preserve">надати Міністерству юстиції України право забороняти проведення реєстраційних дій на період розгляду скарги на реєстраційні дії (рішення), що дозволить </w:t>
      </w:r>
      <w:proofErr w:type="spellStart"/>
      <w:r>
        <w:t>оперативно</w:t>
      </w:r>
      <w:proofErr w:type="spellEnd"/>
      <w:r>
        <w:t xml:space="preserve"> зупиняти розпочате рейдерське захоплення, блокувати штучне створення фігури добросовісного набувача та забезпечувати належне виконання прийнятого Мін'юстом за результатами розгляду скарги рішення;</w:t>
      </w:r>
    </w:p>
    <w:p w:rsidR="00AE798A" w:rsidRDefault="00E46C0C">
      <w:pPr>
        <w:pStyle w:val="a7"/>
        <w:tabs>
          <w:tab w:val="left" w:pos="709"/>
          <w:tab w:val="left" w:pos="851"/>
          <w:tab w:val="left" w:pos="1832"/>
          <w:tab w:val="left" w:pos="2748"/>
          <w:tab w:val="left" w:pos="3664"/>
          <w:tab w:val="left" w:pos="4580"/>
          <w:tab w:val="left" w:pos="5496"/>
          <w:tab w:val="left" w:pos="6412"/>
          <w:tab w:val="left" w:pos="7328"/>
          <w:tab w:val="left" w:pos="8244"/>
          <w:tab w:val="left" w:pos="9160"/>
          <w:tab w:val="left" w:pos="9558"/>
          <w:tab w:val="left" w:pos="9558"/>
          <w:tab w:val="left" w:pos="9558"/>
          <w:tab w:val="left" w:pos="9558"/>
          <w:tab w:val="left" w:pos="9558"/>
          <w:tab w:val="left" w:pos="9558"/>
        </w:tabs>
        <w:ind w:left="0" w:firstLine="567"/>
        <w:jc w:val="both"/>
        <w:rPr>
          <w:sz w:val="28"/>
          <w:szCs w:val="28"/>
        </w:rPr>
      </w:pPr>
      <w:r>
        <w:rPr>
          <w:sz w:val="28"/>
          <w:szCs w:val="28"/>
        </w:rPr>
        <w:t xml:space="preserve">усунути штучні бар'єри для розгляду Міністерством юстиції України по суті скарг на реєстраційні дії (рішення), </w:t>
      </w:r>
      <w:r>
        <w:rPr>
          <w:sz w:val="28"/>
          <w:szCs w:val="28"/>
          <w:shd w:val="clear" w:color="auto" w:fill="FFFFFF"/>
        </w:rPr>
        <w:t>створивши надійне інституційне підґрунтя для розгляду практично всіх скарг, що містять базову інформацію про скаржника та оскаржувану реєстраційну дію</w:t>
      </w:r>
      <w:r>
        <w:rPr>
          <w:sz w:val="28"/>
          <w:szCs w:val="28"/>
        </w:rPr>
        <w:t>;</w:t>
      </w:r>
    </w:p>
    <w:p w:rsidR="00AE798A" w:rsidRDefault="00E46C0C">
      <w:pPr>
        <w:pStyle w:val="a7"/>
        <w:tabs>
          <w:tab w:val="left" w:pos="709"/>
          <w:tab w:val="left" w:pos="851"/>
          <w:tab w:val="left" w:pos="1832"/>
          <w:tab w:val="left" w:pos="2748"/>
          <w:tab w:val="left" w:pos="3664"/>
          <w:tab w:val="left" w:pos="4580"/>
          <w:tab w:val="left" w:pos="5496"/>
          <w:tab w:val="left" w:pos="6412"/>
          <w:tab w:val="left" w:pos="7328"/>
          <w:tab w:val="left" w:pos="8244"/>
          <w:tab w:val="left" w:pos="9160"/>
          <w:tab w:val="left" w:pos="9558"/>
          <w:tab w:val="left" w:pos="9558"/>
          <w:tab w:val="left" w:pos="9558"/>
          <w:tab w:val="left" w:pos="9558"/>
          <w:tab w:val="left" w:pos="9558"/>
          <w:tab w:val="left" w:pos="9558"/>
        </w:tabs>
        <w:ind w:left="0" w:firstLine="567"/>
        <w:jc w:val="both"/>
        <w:rPr>
          <w:sz w:val="28"/>
          <w:szCs w:val="28"/>
        </w:rPr>
      </w:pPr>
      <w:r w:rsidRPr="002B7935">
        <w:rPr>
          <w:sz w:val="28"/>
          <w:szCs w:val="28"/>
        </w:rPr>
        <w:t>удосконалити процедуру розгляду скарг</w:t>
      </w:r>
      <w:r>
        <w:rPr>
          <w:sz w:val="28"/>
          <w:szCs w:val="28"/>
        </w:rPr>
        <w:t xml:space="preserve">, усунути положення, які дозволяли недобросовісним особам блокувати розгляд скарг Міністерством юстиції України, запровадити обов'язковість оприлюднення прийнятих Міністерством юстиції України рішень на офіційному </w:t>
      </w:r>
      <w:proofErr w:type="spellStart"/>
      <w:r>
        <w:rPr>
          <w:sz w:val="28"/>
          <w:szCs w:val="28"/>
        </w:rPr>
        <w:t>вебсайті</w:t>
      </w:r>
      <w:proofErr w:type="spellEnd"/>
      <w:r>
        <w:rPr>
          <w:sz w:val="28"/>
          <w:szCs w:val="28"/>
        </w:rPr>
        <w:t>;</w:t>
      </w:r>
    </w:p>
    <w:p w:rsidR="00AE798A" w:rsidRDefault="00E46C0C">
      <w:pPr>
        <w:pStyle w:val="a7"/>
        <w:tabs>
          <w:tab w:val="left" w:pos="709"/>
          <w:tab w:val="left" w:pos="851"/>
          <w:tab w:val="left" w:pos="1832"/>
          <w:tab w:val="left" w:pos="2748"/>
          <w:tab w:val="left" w:pos="3664"/>
          <w:tab w:val="left" w:pos="4580"/>
          <w:tab w:val="left" w:pos="5496"/>
          <w:tab w:val="left" w:pos="6412"/>
          <w:tab w:val="left" w:pos="7328"/>
          <w:tab w:val="left" w:pos="8244"/>
          <w:tab w:val="left" w:pos="9160"/>
          <w:tab w:val="left" w:pos="9558"/>
          <w:tab w:val="left" w:pos="9558"/>
          <w:tab w:val="left" w:pos="9558"/>
          <w:tab w:val="left" w:pos="9558"/>
          <w:tab w:val="left" w:pos="9558"/>
          <w:tab w:val="left" w:pos="9558"/>
        </w:tabs>
        <w:ind w:left="0" w:firstLine="567"/>
        <w:jc w:val="both"/>
        <w:rPr>
          <w:sz w:val="28"/>
          <w:szCs w:val="28"/>
        </w:rPr>
      </w:pPr>
      <w:r>
        <w:rPr>
          <w:sz w:val="28"/>
          <w:szCs w:val="28"/>
        </w:rPr>
        <w:t>запровадити правило про зупинення перебігу строку на оскарження у разі повернення скаржнику неналежно оформленої скарги (на період між датою подання скарги та датою її повернення</w:t>
      </w:r>
      <w:r>
        <w:rPr>
          <w:sz w:val="28"/>
          <w:szCs w:val="28"/>
          <w:lang w:val="it-IT"/>
        </w:rPr>
        <w:t>);</w:t>
      </w:r>
    </w:p>
    <w:p w:rsidR="00AE798A" w:rsidRDefault="00E46C0C">
      <w:pPr>
        <w:pStyle w:val="a6"/>
        <w:tabs>
          <w:tab w:val="left" w:pos="567"/>
          <w:tab w:val="left" w:pos="709"/>
          <w:tab w:val="left" w:pos="851"/>
          <w:tab w:val="left" w:pos="1832"/>
          <w:tab w:val="left" w:pos="2748"/>
          <w:tab w:val="left" w:pos="3664"/>
          <w:tab w:val="left" w:pos="4580"/>
          <w:tab w:val="left" w:pos="5496"/>
          <w:tab w:val="left" w:pos="6412"/>
          <w:tab w:val="left" w:pos="7328"/>
          <w:tab w:val="left" w:pos="8244"/>
          <w:tab w:val="left" w:pos="9160"/>
          <w:tab w:val="left" w:pos="9558"/>
          <w:tab w:val="left" w:pos="9558"/>
          <w:tab w:val="left" w:pos="9558"/>
          <w:tab w:val="left" w:pos="9558"/>
          <w:tab w:val="left" w:pos="9558"/>
          <w:tab w:val="left" w:pos="9558"/>
        </w:tabs>
        <w:ind w:firstLine="567"/>
        <w:jc w:val="both"/>
      </w:pPr>
      <w:r>
        <w:t>збільшити строк на оскарження реєстраційних дій (рішень) – з 60 календарних днів до 3 місяців із одночасним запровадженням граничного строку (3 роки з дня проведення оскаржуваної реєстраційної дії), після спливу якого право на відповідне адміністративне оскарження не може бути реалізоване;</w:t>
      </w:r>
    </w:p>
    <w:p w:rsidR="00AE798A" w:rsidRDefault="00E46C0C">
      <w:pPr>
        <w:pStyle w:val="a6"/>
        <w:tabs>
          <w:tab w:val="left" w:pos="567"/>
          <w:tab w:val="left" w:pos="709"/>
          <w:tab w:val="left" w:pos="851"/>
          <w:tab w:val="left" w:pos="1832"/>
          <w:tab w:val="left" w:pos="2748"/>
          <w:tab w:val="left" w:pos="3664"/>
          <w:tab w:val="left" w:pos="4580"/>
          <w:tab w:val="left" w:pos="5496"/>
          <w:tab w:val="left" w:pos="6412"/>
          <w:tab w:val="left" w:pos="7328"/>
          <w:tab w:val="left" w:pos="8244"/>
          <w:tab w:val="left" w:pos="9160"/>
          <w:tab w:val="left" w:pos="9558"/>
          <w:tab w:val="left" w:pos="9558"/>
          <w:tab w:val="left" w:pos="9558"/>
          <w:tab w:val="left" w:pos="9558"/>
          <w:tab w:val="left" w:pos="9558"/>
          <w:tab w:val="left" w:pos="9558"/>
        </w:tabs>
        <w:ind w:firstLine="567"/>
        <w:jc w:val="both"/>
      </w:pPr>
      <w:r>
        <w:t>скасувати процедуру зупинення розгляду документів, поданих для державної реєстрації юридичних осіб, фізичних осіб-підприємців та громадських формувань;</w:t>
      </w:r>
    </w:p>
    <w:p w:rsidR="00AE798A" w:rsidRDefault="00E46C0C">
      <w:pPr>
        <w:pStyle w:val="a6"/>
        <w:tabs>
          <w:tab w:val="left" w:pos="567"/>
          <w:tab w:val="left" w:pos="709"/>
          <w:tab w:val="left" w:pos="851"/>
          <w:tab w:val="left" w:pos="1832"/>
          <w:tab w:val="left" w:pos="2748"/>
          <w:tab w:val="left" w:pos="3664"/>
          <w:tab w:val="left" w:pos="4580"/>
          <w:tab w:val="left" w:pos="5496"/>
          <w:tab w:val="left" w:pos="6412"/>
          <w:tab w:val="left" w:pos="7328"/>
          <w:tab w:val="left" w:pos="8244"/>
          <w:tab w:val="left" w:pos="9160"/>
          <w:tab w:val="left" w:pos="9558"/>
          <w:tab w:val="left" w:pos="9558"/>
          <w:tab w:val="left" w:pos="9558"/>
          <w:tab w:val="left" w:pos="9558"/>
          <w:tab w:val="left" w:pos="9558"/>
          <w:tab w:val="left" w:pos="9558"/>
        </w:tabs>
        <w:ind w:firstLine="567"/>
        <w:jc w:val="both"/>
      </w:pPr>
      <w:r>
        <w:t xml:space="preserve">удосконалити правила підписання рішень загальних зборів учасників юридичної особи, </w:t>
      </w:r>
      <w:r w:rsidRPr="002B7935">
        <w:t>встановивши</w:t>
      </w:r>
      <w:r>
        <w:t>, що протокол зборів стосовно зміни керівника має бути підписаний учасниками, які голосували за відповідне рішення та голосів яких достатньо для його прийняття;</w:t>
      </w:r>
    </w:p>
    <w:p w:rsidR="00AE798A" w:rsidRDefault="00E46C0C">
      <w:pPr>
        <w:pStyle w:val="a6"/>
        <w:tabs>
          <w:tab w:val="left" w:pos="567"/>
          <w:tab w:val="left" w:pos="709"/>
          <w:tab w:val="left" w:pos="851"/>
          <w:tab w:val="left" w:pos="1832"/>
          <w:tab w:val="left" w:pos="2748"/>
          <w:tab w:val="left" w:pos="3664"/>
          <w:tab w:val="left" w:pos="4580"/>
          <w:tab w:val="left" w:pos="5496"/>
          <w:tab w:val="left" w:pos="6412"/>
          <w:tab w:val="left" w:pos="7328"/>
          <w:tab w:val="left" w:pos="8244"/>
          <w:tab w:val="left" w:pos="9160"/>
          <w:tab w:val="left" w:pos="9558"/>
          <w:tab w:val="left" w:pos="9558"/>
          <w:tab w:val="left" w:pos="9558"/>
          <w:tab w:val="left" w:pos="9558"/>
          <w:tab w:val="left" w:pos="9558"/>
          <w:tab w:val="left" w:pos="9558"/>
        </w:tabs>
        <w:ind w:firstLine="567"/>
        <w:jc w:val="both"/>
      </w:pPr>
      <w:r>
        <w:t>запровадити можливість проведення окремих реєстраційних дій щодо фізичних осіб – підприємців та юридичних осіб без втручання людини;</w:t>
      </w:r>
    </w:p>
    <w:p w:rsidR="00AE798A" w:rsidRDefault="00E46C0C">
      <w:pPr>
        <w:pStyle w:val="a6"/>
        <w:tabs>
          <w:tab w:val="left" w:pos="567"/>
          <w:tab w:val="left" w:pos="709"/>
          <w:tab w:val="left" w:pos="851"/>
          <w:tab w:val="left" w:pos="1832"/>
          <w:tab w:val="left" w:pos="2748"/>
          <w:tab w:val="left" w:pos="3664"/>
          <w:tab w:val="left" w:pos="4580"/>
          <w:tab w:val="left" w:pos="5496"/>
          <w:tab w:val="left" w:pos="6412"/>
          <w:tab w:val="left" w:pos="7328"/>
          <w:tab w:val="left" w:pos="8244"/>
          <w:tab w:val="left" w:pos="9160"/>
          <w:tab w:val="left" w:pos="9558"/>
          <w:tab w:val="left" w:pos="9558"/>
          <w:tab w:val="left" w:pos="9558"/>
          <w:tab w:val="left" w:pos="9558"/>
          <w:tab w:val="left" w:pos="9558"/>
          <w:tab w:val="left" w:pos="9558"/>
        </w:tabs>
        <w:ind w:firstLine="567"/>
        <w:jc w:val="both"/>
      </w:pPr>
      <w:r>
        <w:t>запровадити правило про те, що правочин про розірвання договору оренди землі сільськогосподарського призначення, за яким орендарем є юридична особа, проголошується за замовчуванням значним, тобто потребує попереднього рішення загальних зборів учасників про надання згоди на його укладення.</w:t>
      </w:r>
    </w:p>
    <w:p w:rsidR="00AE798A" w:rsidRDefault="00AE798A">
      <w:pPr>
        <w:pStyle w:val="a6"/>
        <w:tabs>
          <w:tab w:val="left" w:pos="567"/>
          <w:tab w:val="left" w:pos="709"/>
          <w:tab w:val="left" w:pos="851"/>
          <w:tab w:val="left" w:pos="1832"/>
          <w:tab w:val="left" w:pos="2748"/>
          <w:tab w:val="left" w:pos="3664"/>
          <w:tab w:val="left" w:pos="4580"/>
          <w:tab w:val="left" w:pos="5496"/>
          <w:tab w:val="left" w:pos="6412"/>
          <w:tab w:val="left" w:pos="7328"/>
          <w:tab w:val="left" w:pos="8244"/>
          <w:tab w:val="left" w:pos="9160"/>
          <w:tab w:val="left" w:pos="9558"/>
          <w:tab w:val="left" w:pos="9558"/>
          <w:tab w:val="left" w:pos="9558"/>
          <w:tab w:val="left" w:pos="9558"/>
          <w:tab w:val="left" w:pos="9558"/>
          <w:tab w:val="left" w:pos="9558"/>
        </w:tabs>
        <w:ind w:firstLine="567"/>
        <w:jc w:val="both"/>
      </w:pPr>
    </w:p>
    <w:p w:rsidR="00AE798A" w:rsidRDefault="00E46C0C">
      <w:pPr>
        <w:pStyle w:val="a6"/>
        <w:ind w:firstLine="567"/>
        <w:jc w:val="both"/>
        <w:rPr>
          <w:b/>
          <w:bCs/>
        </w:rPr>
      </w:pPr>
      <w:r>
        <w:rPr>
          <w:b/>
          <w:bCs/>
        </w:rPr>
        <w:t>4. Стан нормативно-правової бази у даній сфері правового регулювання</w:t>
      </w:r>
    </w:p>
    <w:p w:rsidR="00AE798A" w:rsidRDefault="00E46C0C">
      <w:pPr>
        <w:pStyle w:val="a6"/>
        <w:ind w:firstLine="567"/>
        <w:jc w:val="both"/>
      </w:pPr>
      <w:r>
        <w:t xml:space="preserve">У даній сфері правового регулювання діють: </w:t>
      </w:r>
    </w:p>
    <w:p w:rsidR="00AE798A" w:rsidRDefault="00E46C0C">
      <w:pPr>
        <w:pStyle w:val="a6"/>
        <w:ind w:firstLine="567"/>
        <w:jc w:val="both"/>
      </w:pPr>
      <w:r>
        <w:t xml:space="preserve">Закон України «Про оренду землі»; </w:t>
      </w:r>
    </w:p>
    <w:p w:rsidR="00AE798A" w:rsidRDefault="00E46C0C">
      <w:pPr>
        <w:pStyle w:val="a6"/>
        <w:ind w:firstLine="567"/>
        <w:jc w:val="both"/>
      </w:pPr>
      <w:r>
        <w:t xml:space="preserve">Закон України «Про державну реєстрацію речових прав на нерухоме майно та їх обтяжень»; </w:t>
      </w:r>
    </w:p>
    <w:p w:rsidR="00AE798A" w:rsidRDefault="00E46C0C">
      <w:pPr>
        <w:pStyle w:val="a6"/>
        <w:ind w:firstLine="567"/>
        <w:jc w:val="both"/>
      </w:pPr>
      <w:r>
        <w:t xml:space="preserve">Закон України «Про державну реєстрацію юридичних осіб, фізичних осіб – підприємців та громадських формувань»; </w:t>
      </w:r>
    </w:p>
    <w:p w:rsidR="00AE798A" w:rsidRDefault="00E46C0C">
      <w:pPr>
        <w:pStyle w:val="a6"/>
        <w:ind w:firstLine="567"/>
        <w:jc w:val="both"/>
      </w:pPr>
      <w:r>
        <w:t>Закон України «Про товариства з обмеженою та додатковою відповідальністю».</w:t>
      </w:r>
    </w:p>
    <w:p w:rsidR="00AE798A" w:rsidRDefault="00AE798A">
      <w:pPr>
        <w:pStyle w:val="a6"/>
        <w:ind w:firstLine="567"/>
        <w:jc w:val="both"/>
      </w:pPr>
    </w:p>
    <w:p w:rsidR="00AE798A" w:rsidRDefault="00E46C0C">
      <w:pPr>
        <w:pStyle w:val="a6"/>
        <w:ind w:firstLine="567"/>
        <w:jc w:val="both"/>
        <w:rPr>
          <w:b/>
          <w:bCs/>
        </w:rPr>
      </w:pPr>
      <w:r>
        <w:rPr>
          <w:b/>
          <w:bCs/>
        </w:rPr>
        <w:t>5. Фінансово-економічне обґрунтування</w:t>
      </w:r>
    </w:p>
    <w:p w:rsidR="00AE798A" w:rsidRDefault="00E46C0C">
      <w:pPr>
        <w:pStyle w:val="a6"/>
        <w:ind w:firstLine="567"/>
        <w:jc w:val="both"/>
      </w:pPr>
      <w:r>
        <w:t xml:space="preserve">Реалізація </w:t>
      </w:r>
      <w:proofErr w:type="spellStart"/>
      <w:r>
        <w:t>проєкту</w:t>
      </w:r>
      <w:proofErr w:type="spellEnd"/>
      <w:r>
        <w:t xml:space="preserve"> Закону не потребує додаткових витрат з Державного бюджету України.</w:t>
      </w:r>
    </w:p>
    <w:p w:rsidR="00AE798A" w:rsidRDefault="00AE798A">
      <w:pPr>
        <w:pStyle w:val="a6"/>
        <w:ind w:firstLine="567"/>
        <w:jc w:val="both"/>
      </w:pPr>
    </w:p>
    <w:p w:rsidR="00AE798A" w:rsidRDefault="00AE798A">
      <w:pPr>
        <w:pStyle w:val="a6"/>
        <w:ind w:firstLine="567"/>
        <w:jc w:val="both"/>
        <w:rPr>
          <w:b/>
          <w:bCs/>
        </w:rPr>
      </w:pPr>
    </w:p>
    <w:p w:rsidR="00AE798A" w:rsidRDefault="00AE798A">
      <w:pPr>
        <w:pStyle w:val="a6"/>
        <w:ind w:firstLine="567"/>
        <w:jc w:val="both"/>
        <w:rPr>
          <w:b/>
          <w:bCs/>
        </w:rPr>
      </w:pPr>
    </w:p>
    <w:p w:rsidR="00AE798A" w:rsidRDefault="00E46C0C">
      <w:pPr>
        <w:pStyle w:val="a6"/>
        <w:ind w:firstLine="567"/>
        <w:jc w:val="both"/>
        <w:rPr>
          <w:b/>
          <w:bCs/>
        </w:rPr>
      </w:pPr>
      <w:r>
        <w:rPr>
          <w:b/>
          <w:bCs/>
        </w:rPr>
        <w:t>6. Запобігання корупції</w:t>
      </w:r>
    </w:p>
    <w:p w:rsidR="00AE798A" w:rsidRDefault="00E46C0C">
      <w:pPr>
        <w:pStyle w:val="a8"/>
        <w:spacing w:after="0"/>
        <w:ind w:left="0" w:firstLine="567"/>
        <w:jc w:val="both"/>
        <w:rPr>
          <w:rFonts w:ascii="Times New Roman" w:eastAsia="Times New Roman" w:hAnsi="Times New Roman" w:cs="Times New Roman"/>
          <w:sz w:val="28"/>
          <w:szCs w:val="28"/>
        </w:rPr>
      </w:pPr>
      <w:proofErr w:type="spellStart"/>
      <w:r>
        <w:rPr>
          <w:rFonts w:ascii="Times New Roman" w:hAnsi="Times New Roman"/>
          <w:sz w:val="28"/>
          <w:szCs w:val="28"/>
        </w:rPr>
        <w:t>Проєкт</w:t>
      </w:r>
      <w:proofErr w:type="spellEnd"/>
      <w:r>
        <w:rPr>
          <w:rFonts w:ascii="Times New Roman" w:hAnsi="Times New Roman"/>
          <w:sz w:val="28"/>
          <w:szCs w:val="28"/>
        </w:rPr>
        <w:t xml:space="preserve"> Закону не містить правила та процедури, що можуть бути підставами для вчинення корупційних правопорушень. </w:t>
      </w:r>
      <w:proofErr w:type="spellStart"/>
      <w:r>
        <w:rPr>
          <w:rFonts w:ascii="Times New Roman" w:hAnsi="Times New Roman"/>
          <w:sz w:val="28"/>
          <w:szCs w:val="28"/>
        </w:rPr>
        <w:t>Проєкт</w:t>
      </w:r>
      <w:proofErr w:type="spellEnd"/>
      <w:r>
        <w:rPr>
          <w:rFonts w:ascii="Times New Roman" w:hAnsi="Times New Roman"/>
          <w:sz w:val="28"/>
          <w:szCs w:val="28"/>
        </w:rPr>
        <w:t xml:space="preserve"> Закону не потребує проведення громадської антикорупційної експертизи, оскільки направлений на покращення становища громадян та рівня їх забезпечення.</w:t>
      </w:r>
    </w:p>
    <w:p w:rsidR="00AE798A" w:rsidRDefault="00AE798A">
      <w:pPr>
        <w:pStyle w:val="a6"/>
        <w:ind w:firstLine="567"/>
        <w:jc w:val="both"/>
        <w:rPr>
          <w:b/>
          <w:bCs/>
        </w:rPr>
      </w:pPr>
    </w:p>
    <w:p w:rsidR="00AE798A" w:rsidRDefault="00E46C0C">
      <w:pPr>
        <w:pStyle w:val="a6"/>
        <w:ind w:firstLine="567"/>
        <w:jc w:val="both"/>
        <w:rPr>
          <w:b/>
          <w:bCs/>
        </w:rPr>
      </w:pPr>
      <w:r>
        <w:rPr>
          <w:b/>
          <w:bCs/>
        </w:rPr>
        <w:t xml:space="preserve">7. Прогноз соціально-економічних та інших наслідків прийняття </w:t>
      </w:r>
      <w:proofErr w:type="spellStart"/>
      <w:r>
        <w:rPr>
          <w:b/>
          <w:bCs/>
        </w:rPr>
        <w:t>проєкту</w:t>
      </w:r>
      <w:proofErr w:type="spellEnd"/>
      <w:r>
        <w:rPr>
          <w:b/>
          <w:bCs/>
        </w:rPr>
        <w:t xml:space="preserve"> Закону</w:t>
      </w:r>
    </w:p>
    <w:p w:rsidR="00AE798A" w:rsidRDefault="00E46C0C">
      <w:pPr>
        <w:pStyle w:val="a6"/>
        <w:shd w:val="clear" w:color="auto" w:fill="FFFFFF"/>
        <w:tabs>
          <w:tab w:val="left" w:pos="567"/>
          <w:tab w:val="left" w:pos="709"/>
          <w:tab w:val="left" w:pos="851"/>
        </w:tabs>
        <w:ind w:firstLine="567"/>
        <w:jc w:val="both"/>
      </w:pPr>
      <w:r>
        <w:t xml:space="preserve">Прийняття зазначеного Закону дозволить запровадити низку </w:t>
      </w:r>
      <w:proofErr w:type="spellStart"/>
      <w:r>
        <w:t>антирейдерських</w:t>
      </w:r>
      <w:proofErr w:type="spellEnd"/>
      <w:r>
        <w:t xml:space="preserve"> заходів та встановити дієві запобіжники з метою гарантування державою непорушності права власності.</w:t>
      </w:r>
    </w:p>
    <w:p w:rsidR="00AE798A" w:rsidRDefault="00AE798A">
      <w:pPr>
        <w:pStyle w:val="a8"/>
        <w:spacing w:after="0"/>
        <w:ind w:left="0" w:firstLine="851"/>
        <w:jc w:val="both"/>
        <w:rPr>
          <w:rFonts w:ascii="Times New Roman" w:eastAsia="Times New Roman" w:hAnsi="Times New Roman" w:cs="Times New Roman"/>
          <w:sz w:val="28"/>
          <w:szCs w:val="28"/>
        </w:rPr>
      </w:pPr>
    </w:p>
    <w:p w:rsidR="00AE798A" w:rsidRDefault="00AE798A">
      <w:pPr>
        <w:pStyle w:val="a8"/>
        <w:spacing w:after="0"/>
        <w:ind w:left="0" w:firstLine="851"/>
        <w:jc w:val="both"/>
        <w:rPr>
          <w:rFonts w:ascii="Times New Roman" w:eastAsia="Times New Roman" w:hAnsi="Times New Roman" w:cs="Times New Roman"/>
          <w:sz w:val="28"/>
          <w:szCs w:val="28"/>
        </w:rPr>
      </w:pPr>
    </w:p>
    <w:p w:rsidR="00AE798A" w:rsidRDefault="00E46C0C">
      <w:pPr>
        <w:pStyle w:val="a6"/>
        <w:widowControl w:val="0"/>
        <w:ind w:firstLine="567"/>
        <w:jc w:val="both"/>
      </w:pPr>
      <w:r>
        <w:rPr>
          <w:b/>
          <w:bCs/>
        </w:rPr>
        <w:t xml:space="preserve">Народні депутати України                                         </w:t>
      </w:r>
      <w:r>
        <w:rPr>
          <w:b/>
          <w:bCs/>
        </w:rPr>
        <w:tab/>
        <w:t xml:space="preserve"> </w:t>
      </w:r>
    </w:p>
    <w:sectPr w:rsidR="00AE798A">
      <w:headerReference w:type="default" r:id="rId9"/>
      <w:footerReference w:type="default" r:id="rId10"/>
      <w:headerReference w:type="first" r:id="rId11"/>
      <w:footerReference w:type="first" r:id="rId12"/>
      <w:pgSz w:w="11900" w:h="16840"/>
      <w:pgMar w:top="850" w:right="566" w:bottom="850" w:left="1276" w:header="708" w:footer="70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2056" w:rsidRDefault="00BD2056">
      <w:r>
        <w:separator/>
      </w:r>
    </w:p>
  </w:endnote>
  <w:endnote w:type="continuationSeparator" w:id="0">
    <w:p w:rsidR="00BD2056" w:rsidRDefault="00BD20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Times New Roman"/>
    <w:charset w:val="00"/>
    <w:family w:val="roman"/>
    <w:pitch w:val="default"/>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798A" w:rsidRDefault="00AE798A">
    <w:pPr>
      <w:pStyle w:val="a5"/>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798A" w:rsidRDefault="00AE798A">
    <w:pPr>
      <w:pStyle w:val="a5"/>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2056" w:rsidRDefault="00BD2056">
      <w:r>
        <w:separator/>
      </w:r>
    </w:p>
  </w:footnote>
  <w:footnote w:type="continuationSeparator" w:id="0">
    <w:p w:rsidR="00BD2056" w:rsidRDefault="00BD20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798A" w:rsidRDefault="00E46C0C">
    <w:pPr>
      <w:pStyle w:val="a4"/>
      <w:jc w:val="center"/>
    </w:pPr>
    <w:r>
      <w:rPr>
        <w:sz w:val="28"/>
        <w:szCs w:val="28"/>
      </w:rPr>
      <w:fldChar w:fldCharType="begin"/>
    </w:r>
    <w:r>
      <w:rPr>
        <w:sz w:val="28"/>
        <w:szCs w:val="28"/>
      </w:rPr>
      <w:instrText xml:space="preserve"> PAGE </w:instrText>
    </w:r>
    <w:r>
      <w:rPr>
        <w:sz w:val="28"/>
        <w:szCs w:val="28"/>
      </w:rPr>
      <w:fldChar w:fldCharType="separate"/>
    </w:r>
    <w:r w:rsidR="00240B4F">
      <w:rPr>
        <w:noProof/>
        <w:sz w:val="28"/>
        <w:szCs w:val="28"/>
      </w:rPr>
      <w:t>2</w:t>
    </w:r>
    <w:r>
      <w:rPr>
        <w:sz w:val="28"/>
        <w:szCs w:val="28"/>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798A" w:rsidRDefault="00AE798A">
    <w:pPr>
      <w:pStyle w:val="a5"/>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798A"/>
    <w:rsid w:val="00240B4F"/>
    <w:rsid w:val="002B7935"/>
    <w:rsid w:val="00AE798A"/>
    <w:rsid w:val="00BD2056"/>
    <w:rsid w:val="00E46C0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0F86C15-EC55-40FE-AEE7-AAC14D03E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uk-UA" w:eastAsia="uk-UA"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sz w:val="24"/>
      <w:szCs w:val="24"/>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a4">
    <w:name w:val="header"/>
    <w:pPr>
      <w:tabs>
        <w:tab w:val="center" w:pos="4819"/>
        <w:tab w:val="right" w:pos="9639"/>
      </w:tabs>
    </w:pPr>
    <w:rPr>
      <w:rFonts w:cs="Arial Unicode MS"/>
      <w:color w:val="000000"/>
      <w:sz w:val="24"/>
      <w:szCs w:val="24"/>
      <w:u w:color="000000"/>
    </w:rPr>
  </w:style>
  <w:style w:type="paragraph" w:customStyle="1" w:styleId="a5">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a6">
    <w:name w:val="Основной текст"/>
    <w:pPr>
      <w:ind w:firstLine="709"/>
    </w:pPr>
    <w:rPr>
      <w:rFonts w:cs="Arial Unicode MS"/>
      <w:color w:val="000000"/>
      <w:sz w:val="28"/>
      <w:szCs w:val="28"/>
      <w:u w:color="000000"/>
      <w14:textOutline w14:w="0" w14:cap="flat" w14:cmpd="sng" w14:algn="ctr">
        <w14:noFill/>
        <w14:prstDash w14:val="solid"/>
        <w14:bevel/>
      </w14:textOutline>
    </w:rPr>
  </w:style>
  <w:style w:type="paragraph" w:styleId="a7">
    <w:name w:val="List Paragraph"/>
    <w:pPr>
      <w:ind w:left="720"/>
    </w:pPr>
    <w:rPr>
      <w:rFonts w:cs="Arial Unicode MS"/>
      <w:color w:val="000000"/>
      <w:sz w:val="24"/>
      <w:szCs w:val="24"/>
      <w:u w:color="000000"/>
    </w:rPr>
  </w:style>
  <w:style w:type="paragraph" w:styleId="a8">
    <w:name w:val="Body Text Indent"/>
    <w:pPr>
      <w:spacing w:after="120" w:line="259" w:lineRule="auto"/>
      <w:ind w:left="283"/>
    </w:pPr>
    <w:rPr>
      <w:rFonts w:ascii="Calibri" w:hAnsi="Calibri" w:cs="Arial Unicode MS"/>
      <w:color w:val="000000"/>
      <w:sz w:val="22"/>
      <w:szCs w:val="22"/>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Тема Offic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Тема Office">
      <a:majorFont>
        <a:latin typeface="Helvetica Neue"/>
        <a:ea typeface="Helvetica Neue"/>
        <a:cs typeface="Helvetica Neue"/>
      </a:majorFont>
      <a:minorFont>
        <a:latin typeface="Helvetica Neue"/>
        <a:ea typeface="Helvetica Neue"/>
        <a:cs typeface="Helvetica Neue"/>
      </a:minorFont>
    </a:fontScheme>
    <a:fmtScheme name="Тема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30456A9-0796-4953-A349-54DDB250D20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38115F-D92E-4F98-8F8E-8B54BDDD630F}">
  <ds:schemaRefs>
    <ds:schemaRef ds:uri="http://schemas.microsoft.com/sharepoint/v3/contenttype/forms"/>
  </ds:schemaRefs>
</ds:datastoreItem>
</file>

<file path=customXml/itemProps3.xml><?xml version="1.0" encoding="utf-8"?>
<ds:datastoreItem xmlns:ds="http://schemas.openxmlformats.org/officeDocument/2006/customXml" ds:itemID="{544B73B7-0EC5-4E19-8E37-E2251C4F5B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5512</Words>
  <Characters>3143</Characters>
  <Application>Microsoft Office Word</Application>
  <DocSecurity>0</DocSecurity>
  <Lines>26</Lines>
  <Paragraphs>17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2020-07-02T09:49:00Z</dcterms:created>
  <dcterms:modified xsi:type="dcterms:W3CDTF">2020-07-02T09:49:00Z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