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71C" w:rsidRPr="00C9271C" w:rsidRDefault="00C9271C" w:rsidP="00C9271C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bookmarkStart w:id="0" w:name="_GoBack"/>
      <w:bookmarkEnd w:id="0"/>
      <w:r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ПОЯСНЮВАЛЬНА ЗАПИСКА</w:t>
      </w:r>
    </w:p>
    <w:p w:rsidR="00C9271C" w:rsidRPr="00C9271C" w:rsidRDefault="00C9271C" w:rsidP="00C9271C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до </w:t>
      </w:r>
      <w:r w:rsidR="00B41D59"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проекту</w:t>
      </w:r>
      <w:r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Закону України "Про внесення змін до Кодексу цивільного захисту (щодо удосконалення моніторингу та заходів із запобігання виникненню надзвичайних ситуацій)"</w:t>
      </w:r>
    </w:p>
    <w:p w:rsidR="00C9271C" w:rsidRPr="00C9271C" w:rsidRDefault="00C9271C" w:rsidP="00C9271C">
      <w:pPr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C9271C" w:rsidRPr="00C9271C" w:rsidRDefault="00C9271C" w:rsidP="00C9271C">
      <w:pPr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C9271C" w:rsidRPr="00C9271C" w:rsidRDefault="00C9271C" w:rsidP="00C9271C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C927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Обґрунтув</w:t>
      </w:r>
      <w:r w:rsidR="0095172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ання необхідності прийняття акту</w:t>
      </w:r>
      <w:r w:rsidRPr="00C927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</w:p>
    <w:p w:rsidR="00C9271C" w:rsidRPr="00C9271C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Протягом останніх 10 років (2009-2018рр.) в Україні </w:t>
      </w:r>
      <w:r w:rsidR="00E534EC"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виникало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близько 1</w:t>
      </w:r>
      <w:r w:rsidR="0095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828 надзвичайних ситуацій (далі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НС), близько половини з яких (48%), відповідно до Національного клас</w:t>
      </w:r>
      <w:r w:rsidR="0095172A">
        <w:rPr>
          <w:rFonts w:ascii="Times New Roman" w:eastAsia="Times New Roman" w:hAnsi="Times New Roman" w:cs="Times New Roman"/>
          <w:sz w:val="28"/>
          <w:szCs w:val="28"/>
          <w:lang w:eastAsia="ru-RU"/>
        </w:rPr>
        <w:t>ифікатору надзвичайних ситуацій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відносяться до НС техногенного характеру, які щорічно забирають сотні життів, завдають багатомільйонних збитків державі та населенню. </w:t>
      </w:r>
    </w:p>
    <w:p w:rsidR="00E55A1D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офіційною </w:t>
      </w:r>
      <w:r w:rsidR="0095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10-річною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жахливою статистикою жертвами НС техногенного характеру стало більше </w:t>
      </w:r>
      <w:r w:rsidR="0095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ніж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5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тис.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осіб, з яких </w:t>
      </w:r>
      <w:r w:rsidR="0095172A">
        <w:rPr>
          <w:rFonts w:ascii="Times New Roman" w:eastAsia="Times New Roman" w:hAnsi="Times New Roman" w:cs="Times New Roman"/>
          <w:sz w:val="28"/>
          <w:szCs w:val="28"/>
          <w:lang w:eastAsia="ru-RU"/>
        </w:rPr>
        <w:t>1928 осіб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загинуло, у т</w:t>
      </w:r>
      <w:r w:rsidR="0095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числі й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 дітей. </w:t>
      </w:r>
      <w:r w:rsidR="0095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55A1D" w:rsidRDefault="0095172A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це саме надзвичайні ситуації техногенного характеру, тобто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>ті, які виникли під впливом техногенного фактору який на відміну від природного ‒ є ств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ореним та підконтрольним людині. Ц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саме ті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надзвичайні ситуації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жертви, яких можливо було б уникнути, якщо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законодавчо закріпити механізм контролю та </w:t>
      </w:r>
      <w:r w:rsidR="00E55A1D"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виявлення на ранній стадії загрози виникнення аварії чи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надзвичайної ситуації</w:t>
      </w:r>
      <w:r w:rsidR="00E55A1D"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72A" w:rsidRDefault="0095172A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Окрім тисяч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жертв власних громадян, яких вже неможливо повернути,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внаслідок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надзвичайних ситуацій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техногенного характеру Україна також втрачає сотні мільйонів гривень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 матеріальних збитків.</w:t>
      </w:r>
    </w:p>
    <w:p w:rsidR="00C9271C" w:rsidRPr="00C9271C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Наприклад орієнтовні матеріальні збитки внаслідок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надзвичайної ситуації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техногенного характеру у 2008 році перевищили 93,8 млн. грн., у 2009 році – 189,4 млн. грн., у 2015 році - 271 млн. грн. Сума збитків за інші роки також становила сотні мільйонів гривень.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Слід відзначити, що протягом останніх років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цілому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спостерігається тенденція до зниження кількості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надзвичайних ситуацій.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Значною мірою цьому сприяє виконання суб’єктами господарювання вимог чинного законодавства стосовно застосування заходів із виявлення загрози виникнення НС й своєчасного оповіщення населення в зоні можливого ураження. За 10 років це дозволило знизити кількість НС техногенного характеру майже у три рази, а кількість загиблих у два. </w:t>
      </w:r>
    </w:p>
    <w:p w:rsidR="00E55A1D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Але чинним законодавством ці вимоги визначено лише для вузької категорії об’єктів – об’єкти підвищеної небезпеки (ст.53 Кодексу цивільного захисту України). 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статистика НС техногенного характеру в черговий раз доводить, що цього недостатньо. Із року в рік значну кількість НС техногенного характеру – складають саме НС місцевого (42%) та об’єктового рівня (50%) – це говорить про недосконалість вимог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чинного законодавства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до об’єктів у частині забезпечення техногенної безпеки.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6155055" cy="3165475"/>
            <wp:effectExtent l="0" t="0" r="17145" b="15875"/>
            <wp:docPr id="2" name="Діагра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9271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Рис. 1. Розподіл НС техногенного характеру за масштабами (рівнем) 2009-2018рр.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Недосконалість вимог щодо забезпечення техногенної безпеки на об’єктах також демонструє розподіл НС техногенного характеру за територіальною ознакою – для регіонів зі скупченням об'єктів енергетики, переробки та промисловості характерно підвищена кількість НС техногенного характеру, та домінування їх частки в загальній кількості НС. 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C9271C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  <w:r w:rsidRPr="00C9271C">
        <w:rPr>
          <w:rFonts w:ascii="Times New Roman" w:eastAsia="Times New Roman" w:hAnsi="Times New Roman" w:cs="Arial"/>
          <w:noProof/>
          <w:sz w:val="28"/>
          <w:szCs w:val="35"/>
          <w:lang w:eastAsia="uk-UA"/>
        </w:rPr>
        <w:drawing>
          <wp:inline distT="0" distB="0" distL="0" distR="0">
            <wp:extent cx="5648325" cy="2924175"/>
            <wp:effectExtent l="0" t="0" r="9525" b="9525"/>
            <wp:docPr id="1" name="Рисунок 1" descr="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71C" w:rsidRPr="00C9271C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9271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Рис. 2. Розподіл НС техногенного характеру за територіальною ознакою 2018р.</w:t>
      </w:r>
    </w:p>
    <w:p w:rsidR="00C9271C" w:rsidRPr="00C9271C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C9271C" w:rsidRPr="00C9271C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Таким чином, у державі, на цей час, гостро стоїть питання щодо забезпечення безпеки населення, яке працює на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вище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зазначених об'єктах або потрапляє в зону можливого ураження при аваріях на них (об’єктовий та місцевий рівень НС). 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результатами аналізу таких подій та заходів, що мають бути вжиті відповідно до Кодексу цивільного захисту України, можна побачити, що у ньому не враховані значні фактори небезпеки від інших небезпечних об’єктів, крім об’єктів підвищеної небезпеки, зокрема об’єктів з ризиком виникнення надзвичайних ситуацій місцевого або об’єктового рівня, об’єктах з масовим перебуванням людей (постійним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(відповідальності) належать до об’єктів з середніми (СС2) та значними (СС3) наслідками.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Подальша відсутність вимог щодо заходів із забезпечення техногенної безпеки на таких об’єктах, у головному нормативному акті держави, що стосується цивільного захисту, призводить до багаторазового підвищення ризику виникнення НС на за</w:t>
      </w:r>
      <w:r w:rsidR="002D77D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значених об’єктах, а відповідно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до 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людських жертв та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багатомільйонних збитків</w:t>
      </w:r>
      <w:r w:rsidR="00E55A1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9271C" w:rsidRPr="00C9271C" w:rsidRDefault="002D77DA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C9271C"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конопроектом пропонується внести зміни до відповідних статей Кодексу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цивільного захисту</w:t>
      </w:r>
      <w:r w:rsidR="00C9271C"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. Така необхідність ґрунтується на тому, що за своїм визначенням об'єкти підвищеної небезпеки (далі ‒ ОПН) та об’єкт, який не вважається ОПН, відповідно до Закону України "Про об'єкти підвищеної небезпеки" відрізняються тільки нормативно встановленою пороговою масою.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така порогова маса має умовно невелику різницю для ОПН та для об’єкту, який ОПН не вважається. Наприклад, для ОПН така маса становить 5,00 тис. тонн бензину, а для не ОПН ‒ 4,99 тис. тонн. За ступенем небезпеки практичної різниці для цих кількостей бензину майже немає, але це уже різні об'єкти і відповідно відсутні жодні вимоги з забезпечення техногенної безпеки для об’єкту, на якому зберігається 4,99 тис. тонн вибухонебезпечної речовини.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відсутність відповідних вимог дає право суб'єктам господарювання взагалі припинити вжиття заходів безпеки на них, а у цьому разі, наслідки аварій на них можуть перевищувати у декілька разів наслідки аварій на ОПН, до яких відповідно до Закону України "Про об'єкти підвищеної небезпеки" встановлені вичерпні вимоги.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також створює поле для зловживань суб’єктами господарювання, шляхом заниження кількості небезпечних речовин (у т.ч. </w:t>
      </w:r>
      <w:r w:rsidR="002D77DA">
        <w:rPr>
          <w:rFonts w:ascii="Times New Roman" w:eastAsia="Times New Roman" w:hAnsi="Times New Roman" w:cs="Times New Roman"/>
          <w:sz w:val="28"/>
          <w:szCs w:val="28"/>
          <w:lang w:eastAsia="uk-UA"/>
        </w:rPr>
        <w:t>шляхом фіктивного виведення ємно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стей з експлуатації).</w:t>
      </w:r>
    </w:p>
    <w:p w:rsidR="002D77DA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271C">
        <w:rPr>
          <w:rFonts w:ascii="Times New Roman" w:eastAsia="Times New Roman" w:hAnsi="Times New Roman" w:cs="Times New Roman"/>
          <w:sz w:val="28"/>
          <w:szCs w:val="28"/>
        </w:rPr>
        <w:t xml:space="preserve">Окремо необхідно відзначити надзвичайні ситуації, що пов’язані з руйнуванням інженерних споруд і конструкцій та покрівель великої площі. </w:t>
      </w:r>
    </w:p>
    <w:p w:rsidR="00C9271C" w:rsidRPr="00C9271C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271C">
        <w:rPr>
          <w:rFonts w:ascii="Times New Roman" w:eastAsia="Times New Roman" w:hAnsi="Times New Roman" w:cs="Times New Roman"/>
          <w:sz w:val="28"/>
          <w:szCs w:val="28"/>
        </w:rPr>
        <w:t xml:space="preserve">Будучи техногенними аваріями, вони трапляються у будівлях та будинках соціально-культурного та виробничого призначення з масовим перебуванням людей і пов’язані з особливо тяжкими наслідками, які вмить призводять до величезної кількості людських жертв. </w:t>
      </w:r>
    </w:p>
    <w:p w:rsidR="00C9271C" w:rsidRPr="00C9271C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271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З приголомшливою регулярністю у світі відбуваються зазначені аварії, після яких настають особливо тяжкі наслідки. У таблиці, що додається, приведені лише деякі з них.</w:t>
      </w:r>
    </w:p>
    <w:p w:rsidR="00C9271C" w:rsidRPr="00C9271C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9271C" w:rsidRPr="00C9271C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271C">
        <w:rPr>
          <w:rFonts w:ascii="Times New Roman" w:eastAsia="Times New Roman" w:hAnsi="Times New Roman" w:cs="Times New Roman"/>
          <w:b/>
          <w:sz w:val="24"/>
          <w:szCs w:val="24"/>
        </w:rPr>
        <w:t>Таблиця 1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35"/>
        <w:gridCol w:w="1559"/>
        <w:gridCol w:w="1055"/>
        <w:gridCol w:w="4961"/>
      </w:tblGrid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Об’єкт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Держава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Жертви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Фінансові втрати. Правова оцінка.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Причини катастрофи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Обвалення скляних конструкцій покрівлі ТЦ «Acropolis»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(1.05.2014)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Литва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постраждалих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Вільнюський «Acropolis» належить тій же литовській системі Maxima, в торговому центрі якої в Ризі 21 листопада в результаті обвалення даху загинули 54 людини.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Обвалення покрівлі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ТЦ «Maxima»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(21.11.2013)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Латвія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54 загиблих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(в т.ч. 3 рятівників)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фактом недотримання будівельниками компанії Re&amp;Re чинних норм при проведенні відповідних робіт було порушено кримінальну справу. </w:t>
            </w:r>
          </w:p>
          <w:p w:rsidR="00C9271C" w:rsidRPr="00C9271C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листопада прем'єр-міністр Латвії Валдіс Домбровскіс, у зв'язку з подіями в Золітуде, подав у відставку. </w:t>
            </w:r>
          </w:p>
          <w:p w:rsidR="00C9271C" w:rsidRPr="00C9271C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мільйонів латів виділив сейм Латвії на надання допомоги сім'ям та постраждалим при обваленні.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комплексу «Rana Plaza»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(24.04.2013)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Бангладеш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Число жертв обвалення досягло </w:t>
            </w:r>
            <w:r w:rsidRPr="00C92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1,155 осіб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квітня проти власника будівлі, Сохела Рані, і власників п'яти виробництв одягу, які знаходилися всередині, було порушено кримінальну справу.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Обвалення торгового центру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(7.11.2012)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Шестиповерхова будівля торгового центру обвалилась за 15 хвилин до відкриття, тому під завали потрапили в основному співробітники магазинів.. Слідство встановило, що будівля була побудована без ліцензії муніципальних властей.</w:t>
            </w:r>
          </w:p>
        </w:tc>
      </w:tr>
      <w:tr w:rsidR="00C9271C" w:rsidRPr="00C9271C" w:rsidTr="0095172A">
        <w:trPr>
          <w:trHeight w:val="92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стадіону ФК «Твенте» (07.07.2011)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Нідерланди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загиблий,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 менше 10 мільйонів євро.</w:t>
            </w:r>
          </w:p>
        </w:tc>
      </w:tr>
      <w:tr w:rsidR="00C9271C" w:rsidRPr="00C9271C" w:rsidTr="0095172A">
        <w:trPr>
          <w:trHeight w:val="92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конструкцій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ТЦ «Sky Mall»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(17.02.2011)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Україна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Відкрита кримінальна справа по факту порушення службовими особами ТОВ "Призма Бета" при будуванні центру SkyMall правил безпечної експлуатації будівель і споруд (ч.1 ст. 275 Кримінального Кодексу України).</w:t>
            </w: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Помилки при будуванні.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даху супермаркету «</w:t>
            </w: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О'кей» </w:t>
            </w: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(25.01.2011)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загиблий,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17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Відповідальними за обвал даху були визнані власники супермаркету. </w:t>
            </w: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даху складського приміщення «Міраторг» (18.02.2008)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Жертв не було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Більше 60 мільйонів євро.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Басманний ринок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(23.02.2006)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68 загиблих,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Зношеність конструкцій і недостатній контроль об’єкту.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Виставковий центр в місті Катовець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(29.01.2006)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Польща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Більш ніж 60 загиблих,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 і стану покрівлі.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</w:rPr>
              <w:t>Стадіон в Бад-Райхенхаллі (02.01.2006)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Німеччина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11 загиблих,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</w:rPr>
              <w:t>Винні отримали від 5 до 11 років тюремного ув’язнення.</w:t>
            </w: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Причиною великої кількості жертв стало несвоєчасне оповіщення про ризик обвалу.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Пермський спортивний басейн «Дельфін»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(04.12.2005)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 загиблих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(10 дітей),   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 поранений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Термінал Аеропорту «Руассі» (26.05.2004)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Франція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750 мільйонів євро.</w:t>
            </w:r>
            <w:r w:rsidRPr="00C927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Уникнути більшої кількості жертв вдалося завдяки сиренам, що вчасно спрацювали, і грамотно проведеній евакуації.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Причина катастрофи – помилки у проектуванні будівлі.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Аквапарк «Трансвааль» (14.02.2004)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28 загиблих,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т.ч. 8 дітей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Більше 30 мільйонів євро.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Обвал покрівлі корпусу МІК.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Космодром </w:t>
            </w: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«Байконур»  (12.05.2002)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Казахстан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Невідновлювані втрати. Зруйнований єдиний діючий Космодром «Буран» й елементи ракетоносія «Енергія». Перевищення </w:t>
            </w: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навантаження при відсутності контролю покрівлі.</w:t>
            </w:r>
          </w:p>
        </w:tc>
      </w:tr>
      <w:tr w:rsidR="00C9271C" w:rsidRPr="00C9271C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Спортивний комплекс «Юність» (25.06.1998)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23 загиблих, </w:t>
            </w:r>
          </w:p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44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C9271C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 Неякісний ремонт будівлі.</w:t>
            </w:r>
          </w:p>
        </w:tc>
      </w:tr>
    </w:tbl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статистикою у будівлях та будинках за наявності покрівель великої площі</w:t>
      </w:r>
      <w:r w:rsidRPr="00C9271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основна небезпека створюється внаслідок перевантаження покрівель через утворення снігових наметів на них, впливів шквальних вітрів тощо. Крім того, більшість покрівель знаходяться в аварійному стані і своєчасно не обстежуються. За таких умов у державі щороку знищується або пошкоджується 1-2 будівлі різного призначення.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своєчасного виявлення загрози виникнення НС, оповіщення людей у зоні можливого ураження та запобігання виникненню чисельних жертв на зазначених об’єктах, </w:t>
      </w:r>
      <w:r w:rsidR="002D77DA"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законопроектом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пропонується удосконалення вимог щодо забезпечення належного рівня техногенної безпеки на 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Таким чином, прийняття зазначеного </w:t>
      </w:r>
      <w:r w:rsidR="002D77DA"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законопроекту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прогресивним кроком у напрямку застосування превентивних засобів забезпечення безпеки населення, що безумовно позитивно вплине на стан техногенної безпеки та підвищить в цілому безпеку населення, рівень безпеки на виробництві, забезпечить збереження людського життя, дозволить уникнути матеріальних збитків і жертв серед населення працездатного віку у т.ч. кваліфікованого виробничого персоналу.</w:t>
      </w:r>
    </w:p>
    <w:p w:rsidR="00C9271C" w:rsidRPr="00C9271C" w:rsidRDefault="00C9271C" w:rsidP="00C9271C">
      <w:pPr>
        <w:widowControl w:val="0"/>
        <w:spacing w:after="60" w:line="322" w:lineRule="exact"/>
        <w:ind w:right="20" w:firstLine="708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C9271C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Разом з тим це дозволить збільшити інвестиції у вітчизняну промисловість у т.ч. у сферу забезпечення безпеки виробництва, імплементувати сучасні світові норми, досягнення і розробки у сфері безпеки на об’єктах України, створити в країні нові робочі місця у високотехнологічній галузі ‒ розробки та впровадження автоматизованих систем безпеки. </w:t>
      </w:r>
    </w:p>
    <w:p w:rsidR="00C9271C" w:rsidRPr="00C9271C" w:rsidRDefault="00C9271C" w:rsidP="00C9271C">
      <w:pPr>
        <w:widowControl w:val="0"/>
        <w:spacing w:after="60" w:line="322" w:lineRule="exact"/>
        <w:ind w:right="2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C9271C" w:rsidRDefault="00C9271C" w:rsidP="00C9271C">
      <w:pPr>
        <w:keepNext/>
        <w:keepLines/>
        <w:widowControl w:val="0"/>
        <w:tabs>
          <w:tab w:val="left" w:pos="998"/>
        </w:tabs>
        <w:spacing w:after="60" w:line="260" w:lineRule="exact"/>
        <w:ind w:left="708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1" w:name="bookmark0"/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2. Цілі та завдання законопроєкту</w:t>
      </w:r>
      <w:bookmarkEnd w:id="1"/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.</w:t>
      </w:r>
    </w:p>
    <w:p w:rsidR="00C9271C" w:rsidRPr="00C9271C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bookmark1"/>
      <w:r w:rsidRPr="00C9271C">
        <w:rPr>
          <w:rFonts w:ascii="Times New Roman" w:eastAsia="Times New Roman" w:hAnsi="Times New Roman" w:cs="Times New Roman"/>
          <w:bCs/>
          <w:color w:val="000000"/>
          <w:sz w:val="28"/>
          <w:szCs w:val="26"/>
          <w:lang w:eastAsia="uk-UA"/>
        </w:rPr>
        <w:t xml:space="preserve">Метою та завданням </w:t>
      </w:r>
      <w:r w:rsidR="002D77DA" w:rsidRPr="00C9271C">
        <w:rPr>
          <w:rFonts w:ascii="Times New Roman" w:eastAsia="Times New Roman" w:hAnsi="Times New Roman" w:cs="Times New Roman"/>
          <w:bCs/>
          <w:color w:val="000000"/>
          <w:sz w:val="28"/>
          <w:szCs w:val="26"/>
          <w:lang w:eastAsia="uk-UA"/>
        </w:rPr>
        <w:t>законопроекту</w:t>
      </w:r>
      <w:r w:rsidRPr="00C9271C">
        <w:rPr>
          <w:rFonts w:ascii="Times New Roman" w:eastAsia="Times New Roman" w:hAnsi="Times New Roman" w:cs="Times New Roman"/>
          <w:bCs/>
          <w:color w:val="000000"/>
          <w:sz w:val="28"/>
          <w:szCs w:val="26"/>
          <w:lang w:eastAsia="uk-UA"/>
        </w:rPr>
        <w:t xml:space="preserve"> є удосконалення моніторингу та виявлення загрози виникнення надзвичайних ситуацій та своєчасного оповіщення людей у зоні можливого ураження, пов’язаних з небезпекою на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</w:t>
      </w:r>
      <w:r w:rsidRPr="00C9271C">
        <w:rPr>
          <w:rFonts w:ascii="Times New Roman" w:eastAsia="Times New Roman" w:hAnsi="Times New Roman" w:cs="Times New Roman"/>
          <w:bCs/>
          <w:color w:val="000000"/>
          <w:sz w:val="28"/>
          <w:szCs w:val="26"/>
          <w:lang w:eastAsia="uk-UA"/>
        </w:rPr>
        <w:t>.</w:t>
      </w:r>
    </w:p>
    <w:p w:rsidR="00C9271C" w:rsidRPr="00C9271C" w:rsidRDefault="00C9271C" w:rsidP="00C9271C">
      <w:pPr>
        <w:keepNext/>
        <w:keepLines/>
        <w:widowControl w:val="0"/>
        <w:tabs>
          <w:tab w:val="left" w:pos="-540"/>
        </w:tabs>
        <w:spacing w:after="60" w:line="260" w:lineRule="exact"/>
        <w:ind w:left="20"/>
        <w:jc w:val="both"/>
        <w:outlineLvl w:val="0"/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</w:pPr>
    </w:p>
    <w:p w:rsidR="00C9271C" w:rsidRPr="00C9271C" w:rsidRDefault="00C9271C" w:rsidP="00C9271C">
      <w:pPr>
        <w:keepNext/>
        <w:keepLines/>
        <w:widowControl w:val="0"/>
        <w:tabs>
          <w:tab w:val="left" w:pos="-540"/>
        </w:tabs>
        <w:spacing w:after="60" w:line="260" w:lineRule="exact"/>
        <w:ind w:left="20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r w:rsidRPr="00C9271C"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  <w:tab/>
      </w:r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3. Загальна характеристика і основні положення законопроєкту</w:t>
      </w:r>
      <w:r w:rsidRPr="00C9271C"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  <w:t>.</w:t>
      </w:r>
      <w:bookmarkEnd w:id="2"/>
    </w:p>
    <w:p w:rsidR="00C9271C" w:rsidRPr="00C9271C" w:rsidRDefault="00C9271C" w:rsidP="00C9271C">
      <w:pPr>
        <w:widowControl w:val="0"/>
        <w:spacing w:after="60" w:line="32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</w:pPr>
      <w:r w:rsidRPr="00C9271C"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  <w:t xml:space="preserve">Проєктом Закону передбачається прямо визначити обов’язки суб’єктів господарювання, центральних та місцевих органів виконавчої влади щодо створення автоматизованих систем раннього виявлення загрози виникнення надзвичайних ситуацій та оповіщення населення у разі їх виникнення </w:t>
      </w:r>
      <w:r w:rsidRPr="00C9271C">
        <w:rPr>
          <w:rFonts w:ascii="Times New Roman" w:eastAsia="Times New Roman" w:hAnsi="Times New Roman" w:cs="Times New Roman"/>
          <w:bCs/>
          <w:noProof/>
          <w:color w:val="000000"/>
          <w:sz w:val="28"/>
          <w:szCs w:val="26"/>
          <w:lang w:eastAsia="uk-UA"/>
        </w:rPr>
        <w:t xml:space="preserve">на </w:t>
      </w:r>
      <w:r w:rsidRPr="00C9271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</w:t>
      </w:r>
      <w:r w:rsidRPr="00C9271C"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  <w:t>.</w:t>
      </w:r>
    </w:p>
    <w:p w:rsidR="00C9271C" w:rsidRPr="00C9271C" w:rsidRDefault="00C9271C" w:rsidP="00C9271C">
      <w:pPr>
        <w:widowControl w:val="0"/>
        <w:spacing w:after="60" w:line="32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C9271C" w:rsidRDefault="00C9271C" w:rsidP="00C9271C">
      <w:pPr>
        <w:keepNext/>
        <w:keepLines/>
        <w:widowControl w:val="0"/>
        <w:tabs>
          <w:tab w:val="left" w:pos="1210"/>
        </w:tabs>
        <w:spacing w:after="60" w:line="326" w:lineRule="exact"/>
        <w:ind w:left="708" w:right="20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3" w:name="bookmark2"/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4. Стан нормативно-правової бази у даній сфері правового регулювання</w:t>
      </w:r>
      <w:bookmarkEnd w:id="3"/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.</w:t>
      </w:r>
    </w:p>
    <w:p w:rsidR="00C9271C" w:rsidRPr="00C9271C" w:rsidRDefault="00C9271C" w:rsidP="00C9271C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C9271C"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  <w:t xml:space="preserve">У даній сфері правового регулювання основним нормативно-правовим актом є  Кодекс цивільного захисту України. </w:t>
      </w:r>
    </w:p>
    <w:p w:rsidR="00C9271C" w:rsidRPr="00C9271C" w:rsidRDefault="00C9271C" w:rsidP="00C9271C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</w:pPr>
      <w:r w:rsidRPr="00C9271C"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  <w:t>Реалізація положень цього законопроєкту у разі його прийняття не потребуватиме внесення змін до інших законів.</w:t>
      </w:r>
    </w:p>
    <w:p w:rsidR="00C9271C" w:rsidRPr="00C9271C" w:rsidRDefault="00C9271C" w:rsidP="00C9271C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C9271C" w:rsidRDefault="00C9271C" w:rsidP="00C9271C">
      <w:pPr>
        <w:keepNext/>
        <w:keepLines/>
        <w:widowControl w:val="0"/>
        <w:numPr>
          <w:ilvl w:val="0"/>
          <w:numId w:val="2"/>
        </w:numPr>
        <w:tabs>
          <w:tab w:val="left" w:pos="998"/>
        </w:tabs>
        <w:spacing w:after="60" w:line="260" w:lineRule="exact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4" w:name="bookmark3"/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Фінансово-економічне обґрунтування</w:t>
      </w:r>
      <w:bookmarkEnd w:id="4"/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.</w:t>
      </w:r>
    </w:p>
    <w:p w:rsidR="00C9271C" w:rsidRPr="00C9271C" w:rsidRDefault="00C9271C" w:rsidP="00C9271C">
      <w:pPr>
        <w:widowControl w:val="0"/>
        <w:spacing w:after="60" w:line="33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</w:pPr>
      <w:r w:rsidRPr="00C9271C">
        <w:rPr>
          <w:rFonts w:ascii="Times New Roman" w:eastAsia="Times New Roman" w:hAnsi="Times New Roman" w:cs="Times New Roman"/>
          <w:noProof/>
          <w:color w:val="000000"/>
          <w:sz w:val="28"/>
          <w:szCs w:val="26"/>
          <w:lang w:eastAsia="uk-UA"/>
        </w:rPr>
        <w:t>Впровадження проєкту Закону не потребуватиме додаткових фінансових витрат з Державного бюджету України.</w:t>
      </w:r>
    </w:p>
    <w:p w:rsidR="00C9271C" w:rsidRPr="00C9271C" w:rsidRDefault="00C9271C" w:rsidP="00C9271C">
      <w:pPr>
        <w:widowControl w:val="0"/>
        <w:spacing w:after="60" w:line="33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C9271C" w:rsidRDefault="00C9271C" w:rsidP="002D77DA">
      <w:pPr>
        <w:keepNext/>
        <w:keepLines/>
        <w:widowControl w:val="0"/>
        <w:numPr>
          <w:ilvl w:val="0"/>
          <w:numId w:val="2"/>
        </w:numPr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5" w:name="bookmark5"/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Прогноз очікуваних соціально-економічних, правових та інших наслідків прийняття проєкту</w:t>
      </w:r>
      <w:bookmarkEnd w:id="5"/>
      <w:r w:rsidRPr="00C9271C"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  <w:t>.</w:t>
      </w:r>
    </w:p>
    <w:p w:rsidR="00C9271C" w:rsidRPr="00C9271C" w:rsidRDefault="00C9271C" w:rsidP="002D77DA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9271C">
        <w:rPr>
          <w:rFonts w:ascii="Times New Roman" w:eastAsia="Times New Roman" w:hAnsi="Times New Roman" w:cs="Times New Roman"/>
          <w:color w:val="000000"/>
          <w:sz w:val="28"/>
          <w:szCs w:val="26"/>
          <w:lang w:eastAsia="uk-UA"/>
        </w:rPr>
        <w:t xml:space="preserve">Прийняття запропонованого </w:t>
      </w:r>
      <w:r w:rsidR="00B41D59" w:rsidRPr="00C9271C">
        <w:rPr>
          <w:rFonts w:ascii="Times New Roman" w:eastAsia="Times New Roman" w:hAnsi="Times New Roman" w:cs="Times New Roman"/>
          <w:color w:val="000000"/>
          <w:sz w:val="28"/>
          <w:szCs w:val="26"/>
          <w:lang w:eastAsia="uk-UA"/>
        </w:rPr>
        <w:t>проекту</w:t>
      </w:r>
      <w:r w:rsidRPr="00C9271C">
        <w:rPr>
          <w:rFonts w:ascii="Times New Roman" w:eastAsia="Times New Roman" w:hAnsi="Times New Roman" w:cs="Times New Roman"/>
          <w:color w:val="000000"/>
          <w:sz w:val="28"/>
          <w:szCs w:val="26"/>
          <w:lang w:eastAsia="uk-UA"/>
        </w:rPr>
        <w:t xml:space="preserve"> Закону дозволить застосувати превентивні засоби </w:t>
      </w:r>
      <w:r w:rsidR="002D77DA" w:rsidRPr="00C9271C">
        <w:rPr>
          <w:rFonts w:ascii="Times New Roman" w:eastAsia="Times New Roman" w:hAnsi="Times New Roman" w:cs="Times New Roman"/>
          <w:color w:val="000000"/>
          <w:sz w:val="28"/>
          <w:szCs w:val="26"/>
          <w:lang w:eastAsia="uk-UA"/>
        </w:rPr>
        <w:t>забезпечення</w:t>
      </w:r>
      <w:r w:rsidRPr="00C9271C">
        <w:rPr>
          <w:rFonts w:ascii="Times New Roman" w:eastAsia="Times New Roman" w:hAnsi="Times New Roman" w:cs="Times New Roman"/>
          <w:color w:val="000000"/>
          <w:sz w:val="28"/>
          <w:szCs w:val="26"/>
          <w:lang w:eastAsia="uk-UA"/>
        </w:rPr>
        <w:t xml:space="preserve"> безпеки населення, що безумовно позитивно вплине на стан техногенної безпеки та підвищить в цілому безпеку населення, 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рівень безпеки на виробництві, забезпечить збереження людського життя, дозволить уникнути матеріальних збитків і жертв серед населення працездатного віку у т</w:t>
      </w:r>
      <w:r w:rsidR="00B41D59">
        <w:rPr>
          <w:rFonts w:ascii="Times New Roman" w:eastAsia="Times New Roman" w:hAnsi="Times New Roman" w:cs="Times New Roman"/>
          <w:sz w:val="28"/>
          <w:szCs w:val="28"/>
          <w:lang w:eastAsia="uk-UA"/>
        </w:rPr>
        <w:t>ому числі -</w:t>
      </w:r>
      <w:r w:rsidRPr="00C927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кваліфікованого виробничого персоналу.</w:t>
      </w:r>
    </w:p>
    <w:p w:rsidR="00C9271C" w:rsidRPr="00C9271C" w:rsidRDefault="00C9271C" w:rsidP="002D77D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C9271C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З іншого боку це дозволить збільшити інвестиції у вітчизняну </w:t>
      </w:r>
      <w:r w:rsidRPr="00C9271C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lastRenderedPageBreak/>
        <w:t xml:space="preserve">промисловість у т.ч. у сферу забезпечення безпеки виробництва, імплементувати сучасні світові норми, досягнення і розробки у сфері безпеки на об’єктах України, створити в країні нові робочі місця у високотехнологічній галузі ‒ розробки та впровадження автоматизованих систем безпеки. </w:t>
      </w:r>
    </w:p>
    <w:p w:rsidR="00C9271C" w:rsidRPr="00C9271C" w:rsidRDefault="00C9271C" w:rsidP="00C9271C">
      <w:pPr>
        <w:widowControl w:val="0"/>
        <w:spacing w:after="60" w:line="322" w:lineRule="exact"/>
        <w:ind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C9271C" w:rsidRDefault="00C9271C" w:rsidP="00C9271C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</w:pPr>
    </w:p>
    <w:p w:rsidR="00C9271C" w:rsidRPr="00C9271C" w:rsidRDefault="00C9271C" w:rsidP="00C9271C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</w:pPr>
    </w:p>
    <w:p w:rsidR="00C9271C" w:rsidRPr="00C9271C" w:rsidRDefault="00C9271C" w:rsidP="00C9271C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6"/>
          <w:lang w:eastAsia="uk-UA"/>
        </w:rPr>
      </w:pPr>
    </w:p>
    <w:p w:rsidR="00B41D59" w:rsidRDefault="00C9271C" w:rsidP="00C92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Народний депутат</w:t>
      </w:r>
    </w:p>
    <w:p w:rsidR="00C9271C" w:rsidRPr="00C9271C" w:rsidRDefault="00B41D59" w:rsidP="00C92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 </w:t>
      </w:r>
      <w:r w:rsidR="00C9271C"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України                          </w:t>
      </w:r>
      <w:r w:rsidR="00C9271C"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ab/>
      </w:r>
      <w:r w:rsidR="00C9271C"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        </w:t>
      </w:r>
      <w:r w:rsidR="00C9271C" w:rsidRPr="00C9271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     С.В. Шахов</w:t>
      </w:r>
    </w:p>
    <w:p w:rsidR="00AB333B" w:rsidRDefault="00AB333B"/>
    <w:sectPr w:rsidR="00AB333B" w:rsidSect="002D77DA">
      <w:headerReference w:type="default" r:id="rId12"/>
      <w:footerReference w:type="even" r:id="rId13"/>
      <w:footerReference w:type="default" r:id="rId14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399" w:rsidRDefault="00B45399">
      <w:pPr>
        <w:spacing w:after="0" w:line="240" w:lineRule="auto"/>
      </w:pPr>
      <w:r>
        <w:separator/>
      </w:r>
    </w:p>
  </w:endnote>
  <w:endnote w:type="continuationSeparator" w:id="0">
    <w:p w:rsidR="00B45399" w:rsidRDefault="00B45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2CA" w:rsidRDefault="002D77DA" w:rsidP="00F76009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742CA" w:rsidRDefault="00B45399" w:rsidP="00B742C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2CA" w:rsidRDefault="002D77DA" w:rsidP="00F76009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12F20">
      <w:rPr>
        <w:rStyle w:val="a7"/>
        <w:noProof/>
      </w:rPr>
      <w:t>2</w:t>
    </w:r>
    <w:r>
      <w:rPr>
        <w:rStyle w:val="a7"/>
      </w:rPr>
      <w:fldChar w:fldCharType="end"/>
    </w:r>
  </w:p>
  <w:p w:rsidR="00B742CA" w:rsidRDefault="00B45399" w:rsidP="00B742C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399" w:rsidRDefault="00B45399">
      <w:pPr>
        <w:spacing w:after="0" w:line="240" w:lineRule="auto"/>
      </w:pPr>
      <w:r>
        <w:separator/>
      </w:r>
    </w:p>
  </w:footnote>
  <w:footnote w:type="continuationSeparator" w:id="0">
    <w:p w:rsidR="00B45399" w:rsidRDefault="00B45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D1" w:rsidRDefault="002D77DA">
    <w:pPr>
      <w:pStyle w:val="a3"/>
    </w:pPr>
    <w:r w:rsidRPr="001A358F">
      <w:tab/>
      <w:t xml:space="preserve">- </w:t>
    </w:r>
    <w:r w:rsidRPr="001A358F">
      <w:fldChar w:fldCharType="begin"/>
    </w:r>
    <w:r w:rsidRPr="001A358F">
      <w:instrText xml:space="preserve"> PAGE </w:instrText>
    </w:r>
    <w:r w:rsidRPr="001A358F">
      <w:fldChar w:fldCharType="separate"/>
    </w:r>
    <w:r w:rsidR="00712F20">
      <w:rPr>
        <w:noProof/>
      </w:rPr>
      <w:t>2</w:t>
    </w:r>
    <w:r w:rsidRPr="001A358F">
      <w:fldChar w:fldCharType="end"/>
    </w:r>
    <w:r w:rsidRPr="001A358F"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C11E6"/>
    <w:multiLevelType w:val="hybridMultilevel"/>
    <w:tmpl w:val="75BAE47A"/>
    <w:lvl w:ilvl="0" w:tplc="73C00DD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6975AA5"/>
    <w:multiLevelType w:val="hybridMultilevel"/>
    <w:tmpl w:val="92FE802E"/>
    <w:lvl w:ilvl="0" w:tplc="5C3610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71C"/>
    <w:rsid w:val="002D77DA"/>
    <w:rsid w:val="00325DC1"/>
    <w:rsid w:val="003C43B3"/>
    <w:rsid w:val="00712F20"/>
    <w:rsid w:val="0095172A"/>
    <w:rsid w:val="00AB333B"/>
    <w:rsid w:val="00B41D59"/>
    <w:rsid w:val="00B45399"/>
    <w:rsid w:val="00C9271C"/>
    <w:rsid w:val="00E534EC"/>
    <w:rsid w:val="00E55A1D"/>
    <w:rsid w:val="00E8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C99EE-4FC7-4D8C-BAD6-5D15D919B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271C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C9271C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footer"/>
    <w:basedOn w:val="a"/>
    <w:link w:val="a6"/>
    <w:rsid w:val="00C9271C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C9271C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styleId="a7">
    <w:name w:val="page number"/>
    <w:basedOn w:val="a0"/>
    <w:rsid w:val="00C9271C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517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517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uest%201\Desktop\&#1050;&#1086;&#1076;&#1077;&#1082;&#1089;%20&#1088;&#1077;&#1076;%202019\&#1040;&#1085;&#1072;&#1083;&#1080;&#1079;%20&#1053;&#1057;%202013-2019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uk-UA"/>
  <c:roundedCorners val="1"/>
  <c:style val="2"/>
  <c:chart>
    <c:autoTitleDeleted val="1"/>
    <c:view3D>
      <c:rotX val="30"/>
      <c:rotY val="31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240241506482238"/>
          <c:y val="0.16430980629683736"/>
          <c:w val="0.77329829412668394"/>
          <c:h val="0.73925369057374646"/>
        </c:manualLayout>
      </c:layout>
      <c:pie3DChart>
        <c:varyColors val="1"/>
        <c:ser>
          <c:idx val="0"/>
          <c:order val="0"/>
          <c:dPt>
            <c:idx val="0"/>
            <c:bubble3D val="0"/>
            <c:explosion val="23"/>
            <c:extLst>
              <c:ext xmlns:c16="http://schemas.microsoft.com/office/drawing/2014/chart" uri="{C3380CC4-5D6E-409C-BE32-E72D297353CC}">
                <c16:uniqueId val="{00000000-ABF1-4378-9992-86752E743EAF}"/>
              </c:ext>
            </c:extLst>
          </c:dPt>
          <c:dPt>
            <c:idx val="1"/>
            <c:bubble3D val="0"/>
            <c:explosion val="18"/>
            <c:extLst>
              <c:ext xmlns:c16="http://schemas.microsoft.com/office/drawing/2014/chart" uri="{C3380CC4-5D6E-409C-BE32-E72D297353CC}">
                <c16:uniqueId val="{00000001-ABF1-4378-9992-86752E743EAF}"/>
              </c:ext>
            </c:extLst>
          </c:dPt>
          <c:dPt>
            <c:idx val="2"/>
            <c:bubble3D val="0"/>
            <c:explosion val="17"/>
            <c:extLst>
              <c:ext xmlns:c16="http://schemas.microsoft.com/office/drawing/2014/chart" uri="{C3380CC4-5D6E-409C-BE32-E72D297353CC}">
                <c16:uniqueId val="{00000002-ABF1-4378-9992-86752E743EAF}"/>
              </c:ext>
            </c:extLst>
          </c:dPt>
          <c:dPt>
            <c:idx val="3"/>
            <c:bubble3D val="0"/>
            <c:explosion val="21"/>
            <c:extLst>
              <c:ext xmlns:c16="http://schemas.microsoft.com/office/drawing/2014/chart" uri="{C3380CC4-5D6E-409C-BE32-E72D297353CC}">
                <c16:uniqueId val="{00000003-ABF1-4378-9992-86752E743EAF}"/>
              </c:ext>
            </c:extLst>
          </c:dPt>
          <c:dLbls>
            <c:dLbl>
              <c:idx val="0"/>
              <c:layout>
                <c:manualLayout>
                  <c:x val="-2.3440550722777814E-2"/>
                  <c:y val="1.4016460612106742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BF1-4378-9992-86752E743EAF}"/>
                </c:ext>
              </c:extLst>
            </c:dLbl>
            <c:dLbl>
              <c:idx val="1"/>
              <c:layout>
                <c:manualLayout>
                  <c:x val="0.14149853794468939"/>
                  <c:y val="-7.5956045652664464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BF1-4378-9992-86752E743EAF}"/>
                </c:ext>
              </c:extLst>
            </c:dLbl>
            <c:dLbl>
              <c:idx val="2"/>
              <c:layout>
                <c:manualLayout>
                  <c:x val="3.5882076149096054E-2"/>
                  <c:y val="-5.8818481965772419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BF1-4378-9992-86752E743EAF}"/>
                </c:ext>
              </c:extLst>
            </c:dLbl>
            <c:dLbl>
              <c:idx val="3"/>
              <c:layout>
                <c:manualLayout>
                  <c:x val="-5.1451513845984634E-2"/>
                  <c:y val="-6.4516157765347248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BF1-4378-9992-86752E743EA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Лист1!$C$10:$C$13</c:f>
              <c:strCache>
                <c:ptCount val="4"/>
                <c:pt idx="0">
                  <c:v>державного рівня</c:v>
                </c:pt>
                <c:pt idx="1">
                  <c:v>регіонального рівня</c:v>
                </c:pt>
                <c:pt idx="2">
                  <c:v>місцевого рівня</c:v>
                </c:pt>
                <c:pt idx="3">
                  <c:v>об'єктового рівня</c:v>
                </c:pt>
              </c:strCache>
            </c:strRef>
          </c:cat>
          <c:val>
            <c:numRef>
              <c:f>Лист1!$P$10:$P$13</c:f>
              <c:numCache>
                <c:formatCode>0.00%</c:formatCode>
                <c:ptCount val="4"/>
                <c:pt idx="0">
                  <c:v>1.9417475728155338E-2</c:v>
                </c:pt>
                <c:pt idx="1">
                  <c:v>5.1317614424410539E-2</c:v>
                </c:pt>
                <c:pt idx="2">
                  <c:v>0.42579750346740636</c:v>
                </c:pt>
                <c:pt idx="3">
                  <c:v>0.50346740638002774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BF1-4378-9992-86752E743E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1"/>
  </c:chart>
  <c:externalData r:id="rId1">
    <c:autoUpdate val="1"/>
  </c:externalData>
</c:chartSpace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2EEBE4-5ABA-4245-A59F-503C81D959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C6A300-7623-465E-A5F3-F240193CD1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14AF2-2D99-41CE-A136-FE91FCF0A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9227</Words>
  <Characters>5260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2020-07-03T08:10:00Z</dcterms:created>
  <dcterms:modified xsi:type="dcterms:W3CDTF">2020-07-03T08:10:00Z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